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E5" w:rsidRPr="0027360F" w:rsidRDefault="00BE03E5" w:rsidP="00BE03E5">
      <w:pPr>
        <w:pStyle w:val="a8"/>
        <w:jc w:val="right"/>
        <w:rPr>
          <w:rFonts w:ascii="PT Astra Serif" w:hAnsi="PT Astra Serif"/>
          <w:sz w:val="26"/>
          <w:szCs w:val="26"/>
        </w:rPr>
      </w:pPr>
      <w:r w:rsidRPr="0027360F">
        <w:rPr>
          <w:rFonts w:ascii="PT Astra Serif" w:hAnsi="PT Astra Serif"/>
          <w:sz w:val="26"/>
          <w:szCs w:val="26"/>
        </w:rPr>
        <w:t xml:space="preserve">Приложение </w:t>
      </w:r>
    </w:p>
    <w:p w:rsidR="00BE03E5" w:rsidRPr="0027360F" w:rsidRDefault="00BE03E5" w:rsidP="00BE03E5">
      <w:pPr>
        <w:pStyle w:val="a8"/>
        <w:jc w:val="both"/>
        <w:rPr>
          <w:rFonts w:ascii="PT Astra Serif" w:hAnsi="PT Astra Serif"/>
          <w:sz w:val="26"/>
          <w:szCs w:val="26"/>
        </w:rPr>
      </w:pPr>
    </w:p>
    <w:p w:rsidR="00BE03E5" w:rsidRPr="0027360F" w:rsidRDefault="00BE03E5" w:rsidP="00BE03E5">
      <w:pPr>
        <w:pStyle w:val="a8"/>
        <w:jc w:val="center"/>
        <w:rPr>
          <w:rFonts w:ascii="PT Astra Serif" w:hAnsi="PT Astra Serif"/>
          <w:sz w:val="26"/>
          <w:szCs w:val="26"/>
        </w:rPr>
      </w:pPr>
      <w:r w:rsidRPr="0027360F">
        <w:rPr>
          <w:rFonts w:ascii="PT Astra Serif" w:hAnsi="PT Astra Serif"/>
          <w:sz w:val="26"/>
          <w:szCs w:val="26"/>
        </w:rPr>
        <w:t>Информация об исполнении постановления Администрации города Кургана № 8233 от 14.11.2016 года</w:t>
      </w:r>
    </w:p>
    <w:p w:rsidR="00BE03E5" w:rsidRPr="0027360F" w:rsidRDefault="00BE03E5" w:rsidP="00BE03E5">
      <w:pPr>
        <w:pStyle w:val="a8"/>
        <w:jc w:val="center"/>
        <w:rPr>
          <w:rFonts w:ascii="PT Astra Serif" w:hAnsi="PT Astra Serif"/>
          <w:sz w:val="26"/>
          <w:szCs w:val="26"/>
        </w:rPr>
      </w:pPr>
      <w:r w:rsidRPr="0027360F">
        <w:rPr>
          <w:rFonts w:ascii="PT Astra Serif" w:hAnsi="PT Astra Serif"/>
          <w:sz w:val="26"/>
          <w:szCs w:val="26"/>
        </w:rPr>
        <w:t xml:space="preserve">«Об утверждении муниципальной программы «Повышение безопасности дорожного движения в городе Кургане» </w:t>
      </w:r>
    </w:p>
    <w:p w:rsidR="00BE03E5" w:rsidRPr="0027360F" w:rsidRDefault="00BE03E5" w:rsidP="00BE03E5">
      <w:pPr>
        <w:pStyle w:val="a8"/>
        <w:jc w:val="center"/>
        <w:rPr>
          <w:rFonts w:ascii="PT Astra Serif" w:hAnsi="PT Astra Serif"/>
          <w:sz w:val="26"/>
          <w:szCs w:val="26"/>
        </w:rPr>
      </w:pPr>
      <w:r w:rsidRPr="0027360F">
        <w:rPr>
          <w:rFonts w:ascii="PT Astra Serif" w:hAnsi="PT Astra Serif"/>
          <w:sz w:val="26"/>
          <w:szCs w:val="26"/>
        </w:rPr>
        <w:t>за 201</w:t>
      </w:r>
      <w:r w:rsidRPr="0027360F">
        <w:rPr>
          <w:rFonts w:ascii="PT Astra Serif" w:hAnsi="PT Astra Serif"/>
          <w:sz w:val="26"/>
          <w:szCs w:val="26"/>
          <w:lang w:val="en-US"/>
        </w:rPr>
        <w:t>9</w:t>
      </w:r>
      <w:r w:rsidR="00C65D90" w:rsidRPr="0027360F">
        <w:rPr>
          <w:rFonts w:ascii="PT Astra Serif" w:hAnsi="PT Astra Serif"/>
          <w:sz w:val="26"/>
          <w:szCs w:val="26"/>
        </w:rPr>
        <w:t xml:space="preserve"> год</w:t>
      </w:r>
    </w:p>
    <w:p w:rsidR="00673AD8" w:rsidRPr="0027360F" w:rsidRDefault="00673AD8" w:rsidP="00BE03E5">
      <w:pPr>
        <w:pStyle w:val="a8"/>
        <w:jc w:val="center"/>
        <w:rPr>
          <w:rFonts w:ascii="PT Astra Serif" w:hAnsi="PT Astra Serif"/>
          <w:sz w:val="26"/>
          <w:szCs w:val="26"/>
        </w:rPr>
      </w:pPr>
    </w:p>
    <w:tbl>
      <w:tblPr>
        <w:tblW w:w="1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683"/>
        <w:gridCol w:w="16"/>
        <w:gridCol w:w="6341"/>
        <w:gridCol w:w="16"/>
        <w:gridCol w:w="16"/>
        <w:gridCol w:w="1402"/>
        <w:gridCol w:w="14"/>
        <w:gridCol w:w="1135"/>
        <w:gridCol w:w="1219"/>
        <w:gridCol w:w="59"/>
        <w:gridCol w:w="995"/>
        <w:gridCol w:w="10"/>
      </w:tblGrid>
      <w:tr w:rsidR="005B1E0C" w:rsidRPr="0027360F" w:rsidTr="00E23880">
        <w:trPr>
          <w:trHeight w:val="315"/>
        </w:trPr>
        <w:tc>
          <w:tcPr>
            <w:tcW w:w="662" w:type="dxa"/>
            <w:vMerge w:val="restart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№ п/п</w:t>
            </w:r>
          </w:p>
        </w:tc>
        <w:tc>
          <w:tcPr>
            <w:tcW w:w="3699" w:type="dxa"/>
            <w:gridSpan w:val="2"/>
            <w:vMerge w:val="restart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Содержание мероприятия</w:t>
            </w:r>
          </w:p>
        </w:tc>
        <w:tc>
          <w:tcPr>
            <w:tcW w:w="6356" w:type="dxa"/>
            <w:gridSpan w:val="2"/>
            <w:vMerge w:val="restart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Информация о выполнении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 xml:space="preserve">Ответственный </w:t>
            </w:r>
            <w:proofErr w:type="gramStart"/>
            <w:r w:rsidRPr="0027360F">
              <w:rPr>
                <w:rFonts w:ascii="PT Astra Serif" w:hAnsi="PT Astra Serif"/>
                <w:b/>
                <w:szCs w:val="24"/>
              </w:rPr>
              <w:t>исполни-</w:t>
            </w:r>
            <w:proofErr w:type="spellStart"/>
            <w:r w:rsidRPr="0027360F">
              <w:rPr>
                <w:rFonts w:ascii="PT Astra Serif" w:hAnsi="PT Astra Serif"/>
                <w:b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3432" w:type="dxa"/>
            <w:gridSpan w:val="6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Финансово</w:t>
            </w:r>
            <w:r w:rsidR="00212B45" w:rsidRPr="0027360F">
              <w:rPr>
                <w:rFonts w:ascii="PT Astra Serif" w:hAnsi="PT Astra Serif"/>
                <w:b/>
                <w:szCs w:val="24"/>
              </w:rPr>
              <w:t>е</w:t>
            </w:r>
            <w:r w:rsidRPr="0027360F">
              <w:rPr>
                <w:rFonts w:ascii="PT Astra Serif" w:hAnsi="PT Astra Serif"/>
                <w:b/>
                <w:szCs w:val="24"/>
              </w:rPr>
              <w:t xml:space="preserve"> обеспечение</w:t>
            </w:r>
          </w:p>
        </w:tc>
      </w:tr>
      <w:tr w:rsidR="005B1E0C" w:rsidRPr="0027360F" w:rsidTr="00E23880">
        <w:trPr>
          <w:trHeight w:val="240"/>
        </w:trPr>
        <w:tc>
          <w:tcPr>
            <w:tcW w:w="662" w:type="dxa"/>
            <w:vMerge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3699" w:type="dxa"/>
            <w:gridSpan w:val="2"/>
            <w:vMerge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6356" w:type="dxa"/>
            <w:gridSpan w:val="2"/>
            <w:vMerge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Источник финансирования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B1E0C" w:rsidRPr="0027360F" w:rsidRDefault="005B1E0C" w:rsidP="00A551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Запланировано на 201</w:t>
            </w:r>
            <w:r w:rsidR="00D97001" w:rsidRPr="0027360F">
              <w:rPr>
                <w:rFonts w:ascii="PT Astra Serif" w:hAnsi="PT Astra Serif"/>
                <w:b/>
                <w:szCs w:val="24"/>
              </w:rPr>
              <w:t>9</w:t>
            </w:r>
            <w:r w:rsidRPr="0027360F">
              <w:rPr>
                <w:rFonts w:ascii="PT Astra Serif" w:hAnsi="PT Astra Serif"/>
                <w:b/>
                <w:szCs w:val="24"/>
              </w:rPr>
              <w:t xml:space="preserve"> год, тыс. руб.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 xml:space="preserve">Израсходовано средств, </w:t>
            </w:r>
          </w:p>
          <w:p w:rsidR="005B1E0C" w:rsidRPr="0027360F" w:rsidRDefault="005B1E0C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тыс. руб.</w:t>
            </w:r>
          </w:p>
        </w:tc>
      </w:tr>
      <w:tr w:rsidR="00F84C2D" w:rsidRPr="0027360F" w:rsidTr="00E23880">
        <w:tc>
          <w:tcPr>
            <w:tcW w:w="155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84C2D" w:rsidRPr="0027360F" w:rsidRDefault="00F84C2D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1. Совершенствование организации дорожного движения</w:t>
            </w:r>
            <w:r w:rsidRPr="0027360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7360F">
              <w:rPr>
                <w:rFonts w:ascii="PT Astra Serif" w:hAnsi="PT Astra Serif"/>
                <w:b/>
                <w:szCs w:val="24"/>
              </w:rPr>
              <w:t>транспорта и пешеходов</w:t>
            </w:r>
          </w:p>
        </w:tc>
      </w:tr>
      <w:tr w:rsidR="00022CCC" w:rsidRPr="0027360F" w:rsidTr="00E23880">
        <w:tc>
          <w:tcPr>
            <w:tcW w:w="662" w:type="dxa"/>
            <w:shd w:val="clear" w:color="auto" w:fill="auto"/>
          </w:tcPr>
          <w:p w:rsidR="00642AC2" w:rsidRPr="0027360F" w:rsidRDefault="00642AC2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642AC2" w:rsidRPr="0027360F" w:rsidRDefault="00642AC2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Внедрение автоматизированной системы управления дорожным движением для координации работы светофоров</w:t>
            </w:r>
          </w:p>
          <w:p w:rsidR="00642AC2" w:rsidRPr="0027360F" w:rsidRDefault="00642AC2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341" w:type="dxa"/>
            <w:shd w:val="clear" w:color="auto" w:fill="auto"/>
          </w:tcPr>
          <w:p w:rsidR="00642AC2" w:rsidRPr="0027360F" w:rsidRDefault="00642AC2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642AC2" w:rsidRPr="0027360F" w:rsidRDefault="00642AC2" w:rsidP="004426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445AC1" w:rsidRPr="0027360F" w:rsidRDefault="00445AC1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642AC2" w:rsidRPr="0027360F" w:rsidRDefault="00445AC1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42AC2" w:rsidRPr="0027360F" w:rsidRDefault="00642AC2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642AC2" w:rsidRPr="0027360F" w:rsidRDefault="00DB2047" w:rsidP="00EB61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42AC2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Замена ламповых светофоров на светодиодные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МКУ 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«Управление дорожного 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Реконструкция светофоров, прослуживших 10 лет и более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bCs/>
                <w:szCs w:val="24"/>
              </w:rPr>
              <w:t xml:space="preserve">Проведение замены дорожных знаков 5.19.1,2 «Пешеходный переход» и 1.23 «Дети» на дорожные знаки с повышенной степенью </w:t>
            </w:r>
            <w:proofErr w:type="spellStart"/>
            <w:r w:rsidRPr="0027360F">
              <w:rPr>
                <w:rFonts w:ascii="PT Astra Serif" w:hAnsi="PT Astra Serif"/>
                <w:bCs/>
                <w:szCs w:val="24"/>
              </w:rPr>
              <w:t>световозвращения</w:t>
            </w:r>
            <w:proofErr w:type="spellEnd"/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МКУ «Управление дорожного хозяйства и благоустройства 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D679E4">
            <w:pPr>
              <w:overflowPunct/>
              <w:jc w:val="both"/>
              <w:textAlignment w:val="auto"/>
              <w:rPr>
                <w:rFonts w:ascii="PT Astra Serif" w:hAnsi="PT Astra Serif"/>
                <w:bCs/>
                <w:szCs w:val="24"/>
              </w:rPr>
            </w:pPr>
            <w:r w:rsidRPr="0027360F">
              <w:rPr>
                <w:rFonts w:ascii="PT Astra Serif" w:hAnsi="PT Astra Serif"/>
                <w:bCs/>
                <w:szCs w:val="24"/>
              </w:rPr>
              <w:t>Установка дублирующих дорожных знаков 5.19.1 «Пешеходный переход» над проезжей частью дорог с двумя и более полосами для движения в данном направлении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D679E4">
            <w:pPr>
              <w:overflowPunct/>
              <w:jc w:val="both"/>
              <w:textAlignment w:val="auto"/>
              <w:rPr>
                <w:rFonts w:ascii="PT Astra Serif" w:hAnsi="PT Astra Serif"/>
                <w:bCs/>
                <w:szCs w:val="24"/>
              </w:rPr>
            </w:pPr>
            <w:r w:rsidRPr="0027360F">
              <w:rPr>
                <w:rFonts w:ascii="PT Astra Serif" w:hAnsi="PT Astra Serif"/>
                <w:bCs/>
                <w:szCs w:val="24"/>
              </w:rPr>
              <w:t>Установка ограничивающих пешеходных ограждений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D679E4">
            <w:pPr>
              <w:overflowPunct/>
              <w:jc w:val="both"/>
              <w:textAlignment w:val="auto"/>
              <w:rPr>
                <w:rFonts w:ascii="PT Astra Serif" w:hAnsi="PT Astra Serif"/>
                <w:bCs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Перенесение пешеходных переходов со следующих остановок общественного транспорта: Аэропорт,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lastRenderedPageBreak/>
              <w:t>Учкомбинат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 (ул. Б-Петрова), пос. ТЭЦ (ул. Глинки), Строительный колледж, Царево городище, пер.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Варгашинский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, Общежитие, пос. Синтез, памятник </w:t>
            </w:r>
            <w:proofErr w:type="gramStart"/>
            <w:r w:rsidRPr="0027360F">
              <w:rPr>
                <w:rFonts w:ascii="PT Astra Serif" w:hAnsi="PT Astra Serif"/>
                <w:szCs w:val="24"/>
              </w:rPr>
              <w:t>танкистам,  магазин</w:t>
            </w:r>
            <w:proofErr w:type="gramEnd"/>
            <w:r w:rsidRPr="0027360F">
              <w:rPr>
                <w:rFonts w:ascii="PT Astra Serif" w:hAnsi="PT Astra Serif"/>
                <w:szCs w:val="24"/>
              </w:rPr>
              <w:t xml:space="preserve"> «Детский мир», швейная фирма, ул. Пичугина, ЖБИ, 3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мкр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. (ул. Мостостроителей), ОАО «КСМ» (ул.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Половинская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>), 9 школа,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МКУ «Управление дорожного хозяйства и благоустройства города Кургана»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</w:p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D679E4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bCs/>
                <w:szCs w:val="24"/>
              </w:rPr>
              <w:t>Оборудование всех остановок общественного транспорта знаками 5.16. (общее количество необорудованных остановок – 682 ед.)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</w:p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Оборудование карманов на остановках общественного транспорта по маршрутам: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- № 6 «Детская больница им. Красного Креста-Увал- мкн. Тополя» (8 остановок в сторону мкн. Тополя от поворота на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Увал);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 № 359 «НДПК «Новый город» и № 353 «пос. Сиреневый-мкн. Черёмухово» (30 остановок, начиная от мкн. Пригородный до мкн. Черёмухово и НДПК «Новый город»);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- № 26 «пос.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Керамзитный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-ул. Кравченко» (12 остановок </w:t>
            </w:r>
            <w:proofErr w:type="gramStart"/>
            <w:r w:rsidRPr="0027360F">
              <w:rPr>
                <w:rFonts w:ascii="PT Astra Serif" w:hAnsi="PT Astra Serif"/>
                <w:szCs w:val="24"/>
              </w:rPr>
              <w:t>по</w:t>
            </w:r>
            <w:proofErr w:type="gramEnd"/>
            <w:r w:rsidRPr="0027360F">
              <w:rPr>
                <w:rFonts w:ascii="PT Astra Serif" w:hAnsi="PT Astra Serif"/>
                <w:szCs w:val="24"/>
              </w:rPr>
              <w:t xml:space="preserve"> а/д Ботаническая);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 № 349 «ОАО «Синтез»- Омский мост» (10 остановок от аэропорта в сторону Омский мост);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№ 319 «мкн. Зайково-швейная фирма» (24 остановки от ПО «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Курганприбор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>» в сторону мкн. Зайково);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bCs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-два заездных кармана на остановках общественного транспорта по ул. Щорса.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C65D9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Финансирования не было, работы не выполнялись</w:t>
            </w: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ие дорожного хозяйства и благоустройства города Кургана»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</w:p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Обустройство пешеходных переходов в соответствии с требованиями национальных стандартов и проведение мероприятий по совершенствованию организации дорожного движения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DB2047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b/>
                <w:color w:val="000000"/>
                <w:szCs w:val="24"/>
              </w:rPr>
              <w:t xml:space="preserve">          </w:t>
            </w: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464F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Курганской области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DE72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Строительство светофорных 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объектов на перекрестках: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- ул. К. Маркса – ул. Кирова; 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- пр. Конституции в районе строения № 75;   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-пр. Машиностроителей в районе строения № 17 к.4.       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Разработка проектно-сметной документации на установку светофорных объектов       (8 ед.).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Проведение иных мероприятий по совершенствованию организации дорожного движения.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Строительство светофорных объектов на перекрестках: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-улиц Панфилова-</w:t>
            </w:r>
            <w:proofErr w:type="spellStart"/>
            <w:r w:rsidRPr="0027360F">
              <w:rPr>
                <w:rFonts w:ascii="PT Astra Serif" w:hAnsi="PT Astra Serif"/>
                <w:szCs w:val="24"/>
                <w:lang w:eastAsia="en-US"/>
              </w:rPr>
              <w:t>Земнухова</w:t>
            </w:r>
            <w:proofErr w:type="spellEnd"/>
            <w:r w:rsidRPr="0027360F">
              <w:rPr>
                <w:rFonts w:ascii="PT Astra Serif" w:hAnsi="PT Astra Serif"/>
                <w:szCs w:val="24"/>
                <w:lang w:eastAsia="en-US"/>
              </w:rPr>
              <w:t>, Голикова-</w:t>
            </w:r>
            <w:proofErr w:type="spellStart"/>
            <w:r w:rsidRPr="0027360F">
              <w:rPr>
                <w:rFonts w:ascii="PT Astra Serif" w:hAnsi="PT Astra Serif"/>
                <w:szCs w:val="24"/>
                <w:lang w:eastAsia="en-US"/>
              </w:rPr>
              <w:t>Илизарова</w:t>
            </w:r>
            <w:proofErr w:type="spellEnd"/>
            <w:r w:rsidRPr="0027360F">
              <w:rPr>
                <w:rFonts w:ascii="PT Astra Serif" w:hAnsi="PT Astra Serif"/>
                <w:szCs w:val="24"/>
                <w:lang w:eastAsia="en-US"/>
              </w:rPr>
              <w:t>, Голикова – Мальцева, Бурова-Петрова – К. Маркса (после окончания строительства данных дорог);</w:t>
            </w:r>
          </w:p>
          <w:p w:rsidR="00DB2047" w:rsidRPr="0027360F" w:rsidRDefault="00DB2047" w:rsidP="00642AC2">
            <w:pPr>
              <w:overflowPunct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- улиц </w:t>
            </w:r>
            <w:proofErr w:type="spellStart"/>
            <w:r w:rsidRPr="0027360F">
              <w:rPr>
                <w:rFonts w:ascii="PT Astra Serif" w:hAnsi="PT Astra Serif"/>
                <w:szCs w:val="24"/>
                <w:lang w:eastAsia="en-US"/>
              </w:rPr>
              <w:t>Чернореченская</w:t>
            </w:r>
            <w:proofErr w:type="spellEnd"/>
            <w:r w:rsidRPr="0027360F">
              <w:rPr>
                <w:rFonts w:ascii="PT Astra Serif" w:hAnsi="PT Astra Serif"/>
                <w:szCs w:val="24"/>
                <w:lang w:eastAsia="en-US"/>
              </w:rPr>
              <w:t>-Бурова-Петрова, Пугачёва-Достоевского, Б. Мира-Гагарина,    9 Мая-</w:t>
            </w:r>
            <w:proofErr w:type="spellStart"/>
            <w:r w:rsidRPr="0027360F">
              <w:rPr>
                <w:rFonts w:ascii="PT Astra Serif" w:hAnsi="PT Astra Serif"/>
                <w:szCs w:val="24"/>
                <w:lang w:eastAsia="en-US"/>
              </w:rPr>
              <w:t>Карбышева</w:t>
            </w:r>
            <w:proofErr w:type="spellEnd"/>
            <w:r w:rsidRPr="0027360F">
              <w:rPr>
                <w:rFonts w:ascii="PT Astra Serif" w:hAnsi="PT Astra Serif"/>
                <w:szCs w:val="24"/>
                <w:lang w:eastAsia="en-US"/>
              </w:rPr>
              <w:t>;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Финансирования не было, работы не выполнялись</w:t>
            </w:r>
          </w:p>
          <w:p w:rsidR="00DB2047" w:rsidRPr="0027360F" w:rsidRDefault="00DB2047" w:rsidP="00642A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lastRenderedPageBreak/>
              <w:t>Департаме</w:t>
            </w: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lastRenderedPageBreak/>
              <w:t xml:space="preserve">нт развития городского хозяйства, 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  <w:p w:rsidR="00DB2047" w:rsidRPr="0027360F" w:rsidRDefault="00DB2047" w:rsidP="00445AC1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</w:p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 xml:space="preserve">Бюджет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EB61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Разработка «Комплексной схемы организации дорожного движения на территории города Кургана».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F32BF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Выплачена кредиторская задолженность за 2018 год по муниципальному контракту № 34 от 13.03.2018г. на выполнение работ по разработке комплексной схемы организации дорожного движения на территории муниципального образования города Кургана</w:t>
            </w:r>
            <w:r w:rsidR="00673AD8" w:rsidRPr="0027360F">
              <w:rPr>
                <w:rFonts w:ascii="PT Astra Serif" w:hAnsi="PT Astra Serif"/>
                <w:szCs w:val="24"/>
              </w:rPr>
              <w:t>.</w:t>
            </w:r>
          </w:p>
          <w:p w:rsidR="00DB2047" w:rsidRPr="0027360F" w:rsidRDefault="00DB2047" w:rsidP="008E7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5B1E2B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C65D90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МКУ «Управление дорожного 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хозяйства и благоустройства города Кургана»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EB61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770,2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770,2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Внесение изменений в режим работы светофорных объектов. Выделение отдельной фазы для движения пешеходов.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D9700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Финансирования не было, работы не выполнялись</w:t>
            </w:r>
          </w:p>
          <w:p w:rsidR="00DB2047" w:rsidRPr="0027360F" w:rsidRDefault="00DB2047" w:rsidP="00F32B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642AC2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</w:p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Бюджет Курганской области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CA4B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B2047" w:rsidP="00642AC2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Установка дополнительных средств организации дорожного движения и проведение иных мероприятий по совершенствованию организации дорожного движения</w:t>
            </w:r>
          </w:p>
        </w:tc>
        <w:tc>
          <w:tcPr>
            <w:tcW w:w="6341" w:type="dxa"/>
            <w:shd w:val="clear" w:color="auto" w:fill="auto"/>
          </w:tcPr>
          <w:p w:rsidR="00DB2047" w:rsidRPr="0027360F" w:rsidRDefault="00DB2047" w:rsidP="00F32BF6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Выплачена кредиторская задолженность за 2018 год по:</w:t>
            </w:r>
          </w:p>
          <w:p w:rsidR="00DB2047" w:rsidRPr="0027360F" w:rsidRDefault="00DB2047" w:rsidP="00F32BF6">
            <w:pPr>
              <w:jc w:val="both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- договору № 127 от 21.06.2018 </w:t>
            </w:r>
            <w:r w:rsidRPr="0027360F">
              <w:rPr>
                <w:rFonts w:ascii="PT Astra Serif" w:hAnsi="PT Astra Serif"/>
              </w:rPr>
              <w:t>на выполнение работ по пересчету сметной документации в текущие цены в размере 15, 000 тыс. руб.</w:t>
            </w:r>
          </w:p>
          <w:p w:rsidR="00DB2047" w:rsidRPr="0027360F" w:rsidRDefault="00DB2047" w:rsidP="00F32BF6">
            <w:pPr>
              <w:jc w:val="both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- МК № 164 от 06.08.2018 на выполнение работ по установке дорожных знаков в городе Кургане в размере 1039,602 тыс. руб.;</w:t>
            </w:r>
          </w:p>
          <w:p w:rsidR="00DB2047" w:rsidRPr="0027360F" w:rsidRDefault="00DB2047" w:rsidP="00F32BF6">
            <w:pPr>
              <w:jc w:val="both"/>
              <w:rPr>
                <w:rFonts w:ascii="PT Astra Serif" w:hAnsi="PT Astra Serif" w:cs="Tahoma"/>
              </w:rPr>
            </w:pPr>
            <w:r w:rsidRPr="0027360F">
              <w:rPr>
                <w:rFonts w:ascii="PT Astra Serif" w:hAnsi="PT Astra Serif"/>
              </w:rPr>
              <w:t xml:space="preserve">- МК № 196 от 07.09.2018г. </w:t>
            </w:r>
            <w:r w:rsidRPr="0027360F">
              <w:rPr>
                <w:rFonts w:ascii="PT Astra Serif" w:hAnsi="PT Astra Serif" w:cs="Tahoma"/>
              </w:rPr>
              <w:t>на выполнение работ по установке металлического ограждения на перекрестке ул.</w:t>
            </w:r>
            <w:r w:rsidR="002B27F5" w:rsidRPr="0027360F">
              <w:rPr>
                <w:rFonts w:ascii="PT Astra Serif" w:hAnsi="PT Astra Serif" w:cs="Tahoma"/>
              </w:rPr>
              <w:t xml:space="preserve"> </w:t>
            </w:r>
            <w:r w:rsidRPr="0027360F">
              <w:rPr>
                <w:rFonts w:ascii="PT Astra Serif" w:hAnsi="PT Astra Serif" w:cs="Tahoma"/>
              </w:rPr>
              <w:t>К.</w:t>
            </w:r>
            <w:r w:rsidR="002B27F5" w:rsidRPr="0027360F">
              <w:rPr>
                <w:rFonts w:ascii="PT Astra Serif" w:hAnsi="PT Astra Serif" w:cs="Tahoma"/>
              </w:rPr>
              <w:t xml:space="preserve"> </w:t>
            </w:r>
            <w:proofErr w:type="spellStart"/>
            <w:r w:rsidRPr="0027360F">
              <w:rPr>
                <w:rFonts w:ascii="PT Astra Serif" w:hAnsi="PT Astra Serif" w:cs="Tahoma"/>
              </w:rPr>
              <w:t>Мяготина</w:t>
            </w:r>
            <w:proofErr w:type="spellEnd"/>
            <w:r w:rsidRPr="0027360F">
              <w:rPr>
                <w:rFonts w:ascii="PT Astra Serif" w:hAnsi="PT Astra Serif" w:cs="Tahoma"/>
              </w:rPr>
              <w:t xml:space="preserve"> - ул. Пролетарская в г. Кургане в размере 174,235 тыс. руб.;</w:t>
            </w:r>
          </w:p>
          <w:p w:rsidR="00DB2047" w:rsidRPr="0027360F" w:rsidRDefault="00DB2047" w:rsidP="00F32BF6">
            <w:pPr>
              <w:jc w:val="both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 w:cs="Tahoma"/>
              </w:rPr>
              <w:t xml:space="preserve">-МК № 139 от 17.07.2018  </w:t>
            </w:r>
            <w:r w:rsidRPr="0027360F">
              <w:rPr>
                <w:rFonts w:ascii="PT Astra Serif" w:hAnsi="PT Astra Serif"/>
              </w:rPr>
              <w:t xml:space="preserve">на выполнение работ по установке светофорного объекта на перекрестке проспекта Маршала Голикова – ул. </w:t>
            </w:r>
            <w:proofErr w:type="spellStart"/>
            <w:r w:rsidRPr="0027360F">
              <w:rPr>
                <w:rFonts w:ascii="PT Astra Serif" w:hAnsi="PT Astra Serif"/>
              </w:rPr>
              <w:t>Илизарова</w:t>
            </w:r>
            <w:proofErr w:type="spellEnd"/>
            <w:r w:rsidRPr="0027360F">
              <w:rPr>
                <w:rFonts w:ascii="PT Astra Serif" w:hAnsi="PT Astra Serif"/>
              </w:rPr>
              <w:t xml:space="preserve"> в размере 1,628 тыс. </w:t>
            </w:r>
            <w:r w:rsidRPr="0027360F">
              <w:rPr>
                <w:rFonts w:ascii="PT Astra Serif" w:hAnsi="PT Astra Serif"/>
              </w:rPr>
              <w:lastRenderedPageBreak/>
              <w:t>руб.;</w:t>
            </w:r>
          </w:p>
          <w:p w:rsidR="00DB2047" w:rsidRPr="0027360F" w:rsidRDefault="00DB2047" w:rsidP="00F32BF6">
            <w:pPr>
              <w:jc w:val="both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- МК № 140 от 17.07.2018 на выполнение работ по установке светофорного объекта на перекрестке проспекта Маршала Голикова – ул. Мальцева в размере 47,570 тыс. руб.;</w:t>
            </w:r>
          </w:p>
          <w:p w:rsidR="00DB2047" w:rsidRPr="0027360F" w:rsidRDefault="00DB2047" w:rsidP="00673AD8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</w:rPr>
              <w:t>- МК № 165 от 08.08.2018 на выполнение работ по обустройству пешеходного перехода вблизи МАОУ «СОШ №20» ул. Князева.</w:t>
            </w: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D0575F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lastRenderedPageBreak/>
              <w:t xml:space="preserve">Департамент развития городского хозяйства, </w:t>
            </w:r>
          </w:p>
          <w:p w:rsidR="00DB2047" w:rsidRPr="0027360F" w:rsidRDefault="00DB2047" w:rsidP="00D0575F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 xml:space="preserve">МКУ «Управление дорожного хозяйства и благоустройства города 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Кургана»</w:t>
            </w:r>
          </w:p>
          <w:p w:rsidR="00DB2047" w:rsidRPr="0027360F" w:rsidRDefault="00DB2047" w:rsidP="00642AC2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Бюджет города Кургана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F677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2031,1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2031,1</w:t>
            </w:r>
          </w:p>
        </w:tc>
      </w:tr>
      <w:tr w:rsidR="00DB2047" w:rsidRPr="0027360F" w:rsidTr="00E23880">
        <w:tc>
          <w:tcPr>
            <w:tcW w:w="662" w:type="dxa"/>
            <w:shd w:val="clear" w:color="auto" w:fill="auto"/>
          </w:tcPr>
          <w:p w:rsidR="00DB2047" w:rsidRPr="0027360F" w:rsidRDefault="00D7579F" w:rsidP="00D757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1</w:t>
            </w:r>
            <w:r w:rsidR="00DB2047" w:rsidRPr="0027360F">
              <w:rPr>
                <w:rFonts w:ascii="PT Astra Serif" w:hAnsi="PT Astra Serif"/>
                <w:szCs w:val="24"/>
              </w:rPr>
              <w:t>.</w:t>
            </w:r>
            <w:r w:rsidRPr="0027360F">
              <w:rPr>
                <w:rFonts w:ascii="PT Astra Serif" w:hAnsi="PT Astra Serif"/>
                <w:szCs w:val="24"/>
              </w:rPr>
              <w:t>15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DB2047" w:rsidRPr="0027360F" w:rsidRDefault="00DB2047" w:rsidP="00642AC2">
            <w:pPr>
              <w:overflowPunct/>
              <w:spacing w:line="276" w:lineRule="auto"/>
              <w:jc w:val="both"/>
              <w:textAlignment w:val="auto"/>
              <w:rPr>
                <w:rFonts w:ascii="PT Astra Serif" w:hAnsi="PT Astra Serif"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Проведение комиссионных обследований маршрутов городского пассажирского транспорта общего пользования с последующим обобщением причин недостатков в содержании дорог (два раза в год)</w:t>
            </w:r>
          </w:p>
        </w:tc>
        <w:tc>
          <w:tcPr>
            <w:tcW w:w="6341" w:type="dxa"/>
            <w:shd w:val="clear" w:color="auto" w:fill="auto"/>
          </w:tcPr>
          <w:p w:rsidR="00C65D90" w:rsidRPr="0027360F" w:rsidRDefault="00C65D90" w:rsidP="00C65D90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Сезонное обследование состояния УДС проводилось 28-29 мая. Заключение комиссии: техническое состояние проезжих частей улиц и дорог города для эксплуатации автобусных маршрутов – удовлетворительное. Ремонту подлежит 534394,5 м</w:t>
            </w:r>
            <w:r w:rsidRPr="0027360F">
              <w:rPr>
                <w:rFonts w:ascii="PT Astra Serif" w:hAnsi="PT Astra Serif"/>
                <w:szCs w:val="24"/>
                <w:vertAlign w:val="superscript"/>
              </w:rPr>
              <w:t>2</w:t>
            </w:r>
            <w:r w:rsidRPr="0027360F">
              <w:rPr>
                <w:rFonts w:ascii="PT Astra Serif" w:hAnsi="PT Astra Serif"/>
                <w:szCs w:val="24"/>
              </w:rPr>
              <w:t xml:space="preserve"> автомобильных дорог общего пользования местного значения.</w:t>
            </w:r>
          </w:p>
          <w:p w:rsidR="00DB2047" w:rsidRPr="0027360F" w:rsidRDefault="00C65D90" w:rsidP="00E2388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Обследование технического состояния мостов и путепроводов города Кургана проводилось 6-10 июня.</w:t>
            </w:r>
            <w:r w:rsidRPr="0027360F">
              <w:t xml:space="preserve"> </w:t>
            </w:r>
            <w:r w:rsidRPr="0027360F">
              <w:rPr>
                <w:rFonts w:ascii="PT Astra Serif" w:hAnsi="PT Astra Serif"/>
                <w:szCs w:val="24"/>
              </w:rPr>
              <w:t>Заключение комиссии: техническое состояние мостов и путепроводов города Кургана для эксплуатации автобусных маршрутов – удовлетворительное.</w:t>
            </w:r>
          </w:p>
        </w:tc>
        <w:tc>
          <w:tcPr>
            <w:tcW w:w="1434" w:type="dxa"/>
            <w:gridSpan w:val="3"/>
            <w:shd w:val="clear" w:color="auto" w:fill="auto"/>
          </w:tcPr>
          <w:p w:rsidR="00DB2047" w:rsidRPr="0027360F" w:rsidRDefault="00DB2047" w:rsidP="00C6717D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bCs/>
                <w:szCs w:val="24"/>
                <w:lang w:eastAsia="en-US"/>
              </w:rPr>
              <w:t xml:space="preserve">Департамент развития городского хозяйства, ОГИБДД УМВД России по г. Кургану (по согласованию), УГАДН (по согласованию), </w:t>
            </w:r>
          </w:p>
          <w:p w:rsidR="00DB2047" w:rsidRPr="0027360F" w:rsidRDefault="00DB2047" w:rsidP="00C6717D">
            <w:pPr>
              <w:overflowPunct/>
              <w:spacing w:line="276" w:lineRule="auto"/>
              <w:jc w:val="center"/>
              <w:textAlignment w:val="auto"/>
              <w:rPr>
                <w:rFonts w:ascii="PT Astra Serif" w:hAnsi="PT Astra Serif"/>
                <w:bCs/>
                <w:szCs w:val="24"/>
                <w:lang w:eastAsia="en-US"/>
              </w:rPr>
            </w:pPr>
            <w:r w:rsidRPr="0027360F">
              <w:rPr>
                <w:rFonts w:ascii="PT Astra Serif" w:hAnsi="PT Astra Serif"/>
                <w:szCs w:val="24"/>
                <w:lang w:eastAsia="en-US"/>
              </w:rPr>
              <w:t>МКУ «Управление дорожного хозяйства и благоустройства города Кургана», МКУ «Транспорт</w:t>
            </w:r>
            <w:r w:rsidRPr="0027360F">
              <w:rPr>
                <w:rFonts w:ascii="PT Astra Serif" w:hAnsi="PT Astra Serif"/>
                <w:szCs w:val="24"/>
                <w:lang w:eastAsia="en-US"/>
              </w:rPr>
              <w:lastRenderedPageBreak/>
              <w:t>ное управление»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DB2047" w:rsidRPr="0027360F" w:rsidRDefault="00DB2047" w:rsidP="00EB61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Не требует финансирования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B2047" w:rsidRPr="0027360F" w:rsidRDefault="00DB2047" w:rsidP="005B1E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szCs w:val="24"/>
              </w:rPr>
            </w:pP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15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ind w:left="108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7360F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2. Формирование законопослушного поведения участников дорожного движения</w:t>
            </w:r>
          </w:p>
          <w:p w:rsidR="00C65D90" w:rsidRPr="0027360F" w:rsidRDefault="00C65D90" w:rsidP="007C01FD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  <w:b/>
                <w:szCs w:val="24"/>
              </w:rPr>
              <w:t>и сокращение дорожно-транспортного травматизма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2.1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Организация и проведение городских мероприятий по основам безопасного участия в дорожно-транспортной среде детей и подростков, в том числе:</w:t>
            </w:r>
          </w:p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Акция «Безопасное лето – детям»;</w:t>
            </w:r>
          </w:p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Акция «Безопасный маршрут в школу»;</w:t>
            </w:r>
          </w:p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Тематическая смена – МАУ «Оздоровительный комплекс»;</w:t>
            </w:r>
          </w:p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Конкурс агитбригад среди ОУ</w:t>
            </w:r>
          </w:p>
          <w:p w:rsidR="00C65D90" w:rsidRPr="0027360F" w:rsidRDefault="00C65D90" w:rsidP="007C01FD">
            <w:pPr>
              <w:rPr>
                <w:rFonts w:ascii="PT Astra Serif" w:hAnsi="PT Astra Serif"/>
              </w:rPr>
            </w:pP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           В целях профилактики детского дорожно-транспортного травматизма, пропаганды среди детей и подростков основ безопасности дорожного движения Управлением образования Департамента социальной политики Администрации г. Кургана совместно отделом ГИБДД УМВД по г. Кургану за 2019 год  проведены следующие мероприятия.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      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В течение декабря 2018 – января 2019 года в муниципальных общеобразовательных организациях города Кургана проводился городской этап Олимпиады «Знатоки ПДД». Всего в мероприятии приняли участие 11583 обучающихся  5-6-7-8 классов (82% от общего количества) из 45 школ города (на 500 детей больше, чем в прошлом году). 26 и 28 февраля 2019 года проведен областной этап Олимпиады «Знатоки ПДД» на базе четырех общеобразовательных учреждений: МБОУ «СОШ № 38», МАОУ «СОШ № 20», МБОУ «Гимназия № 47», МБОУ «СОШ № 29» в дистанционном режиме для обучающихся общеобразовательных школ города.</w:t>
            </w: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27360F">
              <w:rPr>
                <w:rFonts w:ascii="PT Astra Serif" w:hAnsi="PT Astra Serif"/>
                <w:sz w:val="24"/>
                <w:szCs w:val="24"/>
              </w:rPr>
              <w:t xml:space="preserve">Заявки были приняты на 177 человек, по болезни отсутствовали 5 детей. В Олимпиаде приняли участие все школы города.  Всего в Олимпиаде приняли участие 172 человека. Итоги Олимпиады подведены комиссией, созданной на уровне региона. Результаты следующие: из 40 победителей на уровне области 9 человек из города Кургана (23 %) (школы №№ 22, 24, 26, 40, 49, 50, Гимназии 31, 47, 19).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       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Проведен</w:t>
            </w: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27360F">
              <w:rPr>
                <w:rFonts w:ascii="PT Astra Serif" w:hAnsi="PT Astra Serif"/>
                <w:sz w:val="24"/>
                <w:szCs w:val="24"/>
              </w:rPr>
              <w:t xml:space="preserve">городской конкурс на лучшую методическую разработку по ПДД среди педагогов дошкольных образовательных организаций «Зеленый огонек».  Предоставлено было 32 работы по трем номинациям «Лучший детский праздник», «Лучшее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родительское собрание», «Лучшее занятие с детьми». Жюри работало с 4 апреля по 31 мая. Результаты следующие: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«Лучшее занятие с детьми» 1 место – детский сад № 2, 2 место – детский сад № 54, 3 место – детский сад № 10;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«Лучший детский праздник» - 1 место – детский сад № 138, 2 место – детский сад № 61, 3 место – детский сад № 47;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«Лучшее родительское собрание» - жюри  решило не присуждать место, так как участвовала 1 работа.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Все работы, занявшие 1 места, направлены на областной этап конкурса, результаты </w:t>
            </w:r>
            <w:proofErr w:type="gramStart"/>
            <w:r w:rsidRPr="0027360F">
              <w:rPr>
                <w:rFonts w:ascii="PT Astra Serif" w:hAnsi="PT Astra Serif"/>
                <w:sz w:val="24"/>
                <w:szCs w:val="24"/>
              </w:rPr>
              <w:t>ожидаются..</w:t>
            </w:r>
            <w:proofErr w:type="gramEnd"/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20 июня проведена традиционная акция «Безопасное лето – детям» для отдыхающих в лагерях досуга и отдыха. На 7 станциях дети смогли вспомнить правила дорожного движения. Устройство велосипеда, технику управления велосипедом, выполнить шуточные и творческие задания. Приняли участие более 100 детей, все получили памятные призы.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В МАУ "Оздоровительный комплекс" в июле проведено масштабное мероприятие - игра по станциям, позволяющая вспомнить отдыхающим детям правила безопасного поведения на дрогах. Приняли участие более 400 несовершеннолетних. Также в загородных лагерях организованы и проведены 2 встречи с сотрудниками ГИБДД. Охват более 700 человек.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     Как правильно переходить дорогу, что означают движения регулировщика, почему нельзя отвлекаться за рулем, – этими и другими знаниями учащиеся курганских школ поделились друг с другом. 19 ноября в Центре культуры и досуга «Современник» состоялась акция «Безопасный маршрут в школу».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>В ней приняли участие 10 общеобразовательных учреждений города: школы №№ 39, 7, 9, 41, 44, 43, 26, 48, 20 и гимназия № 19, от которой были заявлены сразу две команды.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На суд жюри, в состав которого вошли представители отдела ГИБДД УМВД России по городу Кургану и специалисты </w:t>
            </w:r>
            <w:proofErr w:type="spellStart"/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>ЦКиД</w:t>
            </w:r>
            <w:proofErr w:type="spellEnd"/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«Современник», юные инспекторы движения представили театрализованные программы «Безопасный маршрут в школу».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>Чтобы сделать свои презентации более яркими и запоминающимися, участники использовали разнообразные выразительные средства. Так, агитбригада гимназии № 19 «Квартет безопасности» своим девизом выбрала фразу «Мы за безопасность на российских дорогах». Ребята показали несколько инсценировок о важности соблюдения Правил дорожного движения и рассказали о том, к каким трагедиям может привести невнимательность пешеходов и водителей. Участники агитбригады «Светофор» из школы № 7 провели со зрителями игру по правилам трехцветного регулировщика и спели частушки о плюсах светоотражающих элементов на одежде. Учащиеся школы № 9 показали программу «Капсула времени» и рассказали о том, что означают дорожные знаки.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>По итогам всех выступлений жюри определило лидеров, набравших наибольшее количество баллов. Оценивались оригинальность программы, отсутствие ошибок в правилах дорожного движения и другие критерии. Победу одержала агитбригада «Автостоп» из гимназии № 19, второй стала команда школы № 7 «Светофор». Третье место заняли ребята из школы № 26. Командам-победителям вручили дипломы, кубки и памятные подарки. Также были отмечены все участники сегодняшнего мероприятия.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В преддверии зимних каникул 5 декабря в МБУ «Центр культуры и досуга «Спутник» прошло ежегодное мероприятие – конкурс агитбригад «Безопасность на дороге – наше общее дело», главной целью которого является формирование навыков безопасного поведения среди обучающихся в условиях улично-дорожной среды.  </w:t>
            </w:r>
            <w:proofErr w:type="gramStart"/>
            <w:r w:rsidRPr="0027360F">
              <w:rPr>
                <w:rFonts w:ascii="PT Astra Serif" w:hAnsi="PT Astra Serif"/>
                <w:sz w:val="24"/>
                <w:szCs w:val="24"/>
              </w:rPr>
              <w:t>Конкурс  стал</w:t>
            </w:r>
            <w:proofErr w:type="gram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уже традиционным и каждый раз охватывает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более 200 школьников. В этом году участие приняли отряды ЮИД из 22 образовательных организаций города.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Главная задача отрядов юных инспекторов движения - это не только самим запомнить правила безопасного поведения на дороге, но и научить своих сверстников быть дисциплинированными участниками движения. Как в простой и доступной форме объяснить детям, что дорога – это большая опасность? Как научить видеть «дорожные ловушки» и соблюдать Правила дорожного движения. Лучший способ </w:t>
            </w:r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сделать это в сценической форме, чтобы заинтересовать ребят и убедить их в необходимости знать и соблюдать Правила дорожного движения. Именно это в полной мере удалось сделать участникам конкурса.</w:t>
            </w:r>
            <w:r w:rsidRPr="0027360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Ребята показали свои незаурядные артистические способности и таланты. В выступлениях </w:t>
            </w:r>
            <w:proofErr w:type="spellStart"/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юидовцев</w:t>
            </w:r>
            <w:proofErr w:type="spellEnd"/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было много музыки, ярких костюмов и юмора, не смотря на то, что тема конкурса очень серьезная.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Оценивало выступление ребят жюри, в состав которого вошли </w:t>
            </w:r>
            <w:r w:rsidRPr="0027360F">
              <w:rPr>
                <w:rFonts w:ascii="PT Astra Serif" w:hAnsi="PT Astra Serif"/>
                <w:sz w:val="24"/>
                <w:szCs w:val="24"/>
              </w:rPr>
              <w:t xml:space="preserve">сотрудники  региональной Госавтоинспекции. </w:t>
            </w:r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По решению судей, победителями стал отряд ЮИД  ГКОУ «Школа - интернат № 17 имени Д.М. </w:t>
            </w:r>
            <w:proofErr w:type="spellStart"/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Карбышева</w:t>
            </w:r>
            <w:proofErr w:type="spellEnd"/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», «серебро» досталось  ребятам из МБОУ «Гимназия №31»  и третье место занял отряд юных инспекторов движения из МБОУ «Гимназия №19».   Кроме того, жюри отметили  за самое музыкальное выступление команду МБОУ «СОШ№34», за оригинальный сценарий ГКОУ «Школа - интернат № 17 имени Д.М. </w:t>
            </w:r>
            <w:proofErr w:type="spellStart"/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Карбышева</w:t>
            </w:r>
            <w:proofErr w:type="spellEnd"/>
            <w:r w:rsidRPr="0027360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». Все ребята получили памятные подарки и дипломы.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Сотрудники Госавтоинспекции поздравили победителей и выразили всем участникам благодарность за вклад в общее дело - безопасность на дорогах.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360F">
              <w:rPr>
                <w:rFonts w:ascii="PT Astra Serif" w:hAnsi="PT Astra Serif"/>
                <w:sz w:val="20"/>
                <w:szCs w:val="20"/>
              </w:rPr>
              <w:lastRenderedPageBreak/>
              <w:t>ДСП, 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140,466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62,44 (44,45%)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2.2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overflowPunct/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 Организация взаимодействия со средствами массовой информации по информированию населения о целях и задачах мероприятий по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обеспечению безопасности дорожного движения, проводимых Госавтоинспекцией города и формированию законопослушного поведения у населения.</w:t>
            </w:r>
          </w:p>
          <w:p w:rsidR="00C65D90" w:rsidRPr="0027360F" w:rsidRDefault="00C65D90" w:rsidP="007C01FD">
            <w:pPr>
              <w:overflowPunct/>
              <w:jc w:val="both"/>
              <w:rPr>
                <w:rFonts w:ascii="PT Astra Serif" w:hAnsi="PT Astra Serif"/>
                <w:bCs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(Передача по заказу ГИБДД-ежемесячно)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Мероприятие организует ОГИБДД УМВД России по г.Кургану. Проведена серия интервью с начальником ОГОБДД УМВД Росси по г.Кургана Н.Н. Гореловым по теме безопасного поведения граждан на дорогах города. На оставшуюся сумму в настоящее время выписаны счета на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оказание услуг, достигнута предварительная договоренность о содержании информационных материалов.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Информационные материалы по обеспечению безопасности на дорогах города регулярно размещаются на официальном сайте Администрации города Кургана: 26.08 - материалы о начале акции "Внимание - дети!"; 03.09 - итоги очередного заседания комиссии по безопасности дорожного движения города Кургана; 04.09 - информация о нанесении разметки на дорожное полотно вблизи школ города; 24.09 - в школах стартовал первый этап "Зарницы и Школы безопасности; 04.12 – информация о новых светофорных объектах на улицах города; 04.12 – анонс мероприятия – конкурса агитбригад «Безопасность на дорогах – наше общее дело»; 19.11 – информация о проведенной акции «Безопасный маршрут в школу»; 19.11 – о проведении профилактической акции «Пешеход»; 14.10 – о заседании комиссии по безопасности дорожного движения; 02.10 – об установке светофорных объектов.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0" w:rsidRPr="0027360F" w:rsidRDefault="00C65D90" w:rsidP="007C01FD">
            <w:pPr>
              <w:overflowPunct/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 xml:space="preserve">ДСП ОГИБДД </w:t>
            </w:r>
          </w:p>
          <w:p w:rsidR="00C65D90" w:rsidRPr="0027360F" w:rsidRDefault="00C65D90" w:rsidP="007C01FD">
            <w:pPr>
              <w:overflowPunct/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100,00</w:t>
            </w:r>
          </w:p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(33,3%)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  <w:szCs w:val="24"/>
              </w:rPr>
              <w:t>Организация и проведение профилактических мероприятий с различными категориями участников дорожного движения по предупреждению дорожно-транспортного травматизма и проведение специализированных мероприятий «Внимание-дети!», «Скорость», «Автобус», «Мотоцикл», «Притормози», «Стань заметней», «Внимание-пешеход», «Дистанция» и др.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Профилактические мероприятия в образовательных организациях проводятся непрерывно в течение всего года. В 2019 году организовывались рейды отрядов ЮИД и Родительских патрулей (ношение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световозвращателей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>, правильное перемещение через проезжую часть, применение удерживающих устройств в автомобилях).</w:t>
            </w: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На последнем уроке проводились обязательные «минутки безопасности». На стендах в настоящее время размещена актуальная информация о ДДТТ за весенний  период.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11 января и 18 января 2019 года проведены совещания с начальниками лагерей с дневным пребыванием, один из вопросов повестки: «Обеспечение безопасных условий при перевозке детей и профилактические мероприятия по БДД в летний период».   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В преддверии весенних каникул (25-29.03), летних каникул (20-31.05)  и осенних каникул проведены со всеми обучающимися инструктажи по технике безопасности с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обязательным включением вопросов по соблюдению Правил дорожного движения.    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      Традиционная акция «Внимание – дети!» стартовала на территории города в конце мая, продлилась до  14 июня. В акции были задействованы школы, детские сады, учреждения дополнительного образования, лагеря досуга и отдыха, опорные площадки по месту жительства. 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Школы и детские сады в 2019 году приняли участие в конкурсе фотографий «Будь заметней»!», организованном Уполномоченным по правам ребенка при Губернаторе Курганской области А.Е. Лопатиной. В конкурсе «Полицейский дядя Степа», организованном ОГИБДД, приняли участие 42 детских сада. В конкурсе «Засветись, будь заметнее», организованном МБОУДО «Радуга», участвовали 14 школ, 28 детских садов, 2 учреждения дополнительного образования (310 работ). В конкурсе макетов «Мой безопасный город» в число победителей вошла команда школы № 22. В конкурсе социальной рекламы «Дорога глазами детей» школа № 49 заняла 2 призовых места, «Синяя птица» - 3 призовых места, «Радуга» - 4 призовых места. Итоги всех конкурсов  подведены, победители получили грамоты и памятные призы.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>В областном центре подвели итоги профилактической операции «Безопасный автобус», которая проводилась с 18 по 20 июня сотрудниками Госавтоинспекции совместно с представителями территориального отдела государственного автодорожного надзора и была направлена на профилактику аварийности, выявление и пресечение нарушений Правил дорожного движения, обеспечение безопасной перевозки пассажиров.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Как сообщили в отделении пропаганды безопасности дорожного движения отдела ГИБДД УМВД России по городу Кургану за двое суток мероприятия было осмотрено 203 автобуса и составлено 44 административных материала на водителей, в том числе 6 - за неудовлетворительное </w:t>
            </w: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техническое состояние автобусов. К административной ответственности за выпуск на линию неисправных автобусов привлечены 4 должностных лица пассажирских предприятий.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27360F">
              <w:rPr>
                <w:rFonts w:ascii="PT Astra Serif" w:hAnsi="PT Astra Serif" w:cs="Arial"/>
                <w:color w:val="000000"/>
                <w:sz w:val="24"/>
                <w:szCs w:val="24"/>
              </w:rPr>
              <w:t>В период проведения мероприятия дорожно-транспортных происшествий по вине водителей автобусов допущено не было.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Традиционно с 24 августа по 25 сентября проводится акция "Внимание, дети!", в которой принимают участие все образовательные организации города: родительские собрания и конференции, классные часы,  инструктажи, профилактические беседы. В учреждениях обновлена стендовая информация, размещаются материалы на сайтах, откорректирован маршрут "Дом-школа-дом" и "Дом - детский сад - дом", в начальной школе создаются персонифицированные маршруты.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В настоящее время подводятся итоги интерактивного конкурса, инициированного Уполномоченным по правам ребенка в Курганской области А.Е. Лопатиной «Засветись».</w:t>
            </w:r>
          </w:p>
          <w:p w:rsidR="00C65D90" w:rsidRPr="0027360F" w:rsidRDefault="00C65D90" w:rsidP="007C01FD">
            <w:pPr>
              <w:ind w:firstLine="708"/>
              <w:jc w:val="both"/>
              <w:rPr>
                <w:rFonts w:ascii="PT Astra Serif" w:hAnsi="PT Astra Serif"/>
                <w:color w:val="000000"/>
                <w:szCs w:val="24"/>
              </w:rPr>
            </w:pPr>
            <w:r w:rsidRPr="0027360F">
              <w:rPr>
                <w:rFonts w:ascii="PT Astra Serif" w:hAnsi="PT Astra Serif"/>
                <w:color w:val="000000"/>
                <w:szCs w:val="24"/>
              </w:rPr>
              <w:t xml:space="preserve">В целях снижения уровня аварийности на пассажирском транспорте сотрудниками Госавтоинспекции г. Кургана за отчетный период 2019 года проведено 4 оперативно-профилактических мероприятия. В период с 18 по 22 февраля 2019 года проведено оперативно-профилактическое мероприятие под условным названием «Маршрутка», с 04 по 07 апреля 2019 года и с 18 по 20 июня 2019 года проведены оперативно-профилактические мероприятия под условным названием «Безопасный автобус», с 17 по 19 сентября 2019 года проведено оперативно-профилактическое мероприятие под условным названием «Автобус», направленные на профилактику аварийности, выявление и пресечение нарушений Правил дорожного движения, обеспечение безопасной перевозки пассажиров автобусами. В ходе мероприятия совместно с представителями ТОГАДН по </w:t>
            </w:r>
            <w:r w:rsidRPr="0027360F">
              <w:rPr>
                <w:rFonts w:ascii="PT Astra Serif" w:hAnsi="PT Astra Serif"/>
                <w:color w:val="000000"/>
                <w:szCs w:val="24"/>
              </w:rPr>
              <w:lastRenderedPageBreak/>
              <w:t>Курганской области осмотрено 1669 автобусов. Составлено 297 административных материалов на водителей автобусов, из них 39 за неудовлетворительное техническое состояние и 4 за нарушение Правил перевозки организованных групп детей автобусами</w:t>
            </w:r>
            <w:r w:rsidRPr="0027360F">
              <w:rPr>
                <w:rFonts w:ascii="PT Astra Serif" w:hAnsi="PT Astra Serif"/>
                <w:color w:val="000000"/>
                <w:szCs w:val="24"/>
                <w:shd w:val="clear" w:color="auto" w:fill="FFFFFF"/>
              </w:rPr>
              <w:t>. З</w:t>
            </w:r>
            <w:r w:rsidRPr="0027360F">
              <w:rPr>
                <w:rFonts w:ascii="PT Astra Serif" w:hAnsi="PT Astra Serif"/>
                <w:color w:val="000000"/>
                <w:szCs w:val="24"/>
              </w:rPr>
              <w:t>а выпуск на линию неисправных автобусов привлечено к административной ответственности 21 должностное лицо пассажирских предприятий и за нарушение Правил перевозки организованных групп детей автобусами привлечено 2 должностных лица МБОУ СОШ № 24 г. Кургана и МБОУ СОШ № 53 г. Кургана. Направлены информационные письма в прокуратуру города Кургана, ТОГАДН по Курганской области и Управление образования Администрации города Кургана.  По всем мероприятиям в СМИ опубликованы цели и задачи, их результаты. Подготовлено 7 телесюжетов.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ДСП, 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69,997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69,997 (100%)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Организация и проведение конкурса «Безопасное колесо» среди отрядов юных инспекторов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        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Городской  конкурс отрядов юных инспекторов дорожного движения (ЮИД) проведен в два этапа на базе МБОУ «СОШ № 50» - 19 и 21 марта. Был издан приказ Департамента социальной политики Администрации города Кургана от 27 февраля 2019 года № 63 «О проведении городского конкурса юных инспекторов движения «Безопасное колесо».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i/>
                <w:sz w:val="26"/>
                <w:szCs w:val="26"/>
              </w:rPr>
              <w:t xml:space="preserve">          </w:t>
            </w:r>
            <w:r w:rsidRPr="0027360F">
              <w:rPr>
                <w:rFonts w:ascii="PT Astra Serif" w:hAnsi="PT Astra Serif"/>
                <w:sz w:val="24"/>
                <w:szCs w:val="24"/>
              </w:rPr>
              <w:t xml:space="preserve">В первом этапе приняли участие 40 команд из 40 учреждений (2018 год – 39 команд); во второй этап вышли команды школ 47, 50, 24, 31, 23, 46, 67, 52, 19, 12. Победила команда 47 гимназии (2 место – гимназия 31, 3 место – СОШ № 23), команда 47 гимназии третий год подряд представляла город Кургана на областном этапе, который прошел 27 апреля, заняла 1 место на областном конкурсе среди 26 команд. По итогам городского конкурса все команды получили грамоты и памятные призы, награждение состоялось 25 апреля. 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Команда Гимназии № 47 заняла также первое место в областном этапе   конкурса.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Команда Гимназии № 47 с 4 по 9 июня защищала честь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Курганской области в городе Казани на всероссийском этапе конкурса «Безопасное колесо» - 38 позиция.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360F">
              <w:rPr>
                <w:rFonts w:ascii="PT Astra Serif" w:hAnsi="PT Astra Serif"/>
                <w:sz w:val="20"/>
                <w:szCs w:val="20"/>
              </w:rPr>
              <w:lastRenderedPageBreak/>
              <w:t>ДСП, 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45,0</w:t>
            </w:r>
          </w:p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(100%)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2.5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Развитие учебно-методической и материальной базы кабинетов БДД и автоматизированной площадки в МБУ «Центр образования»; организация учебно-методической работы специалистов кабинетов БДД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          В МБУ «Центр образования» оборудован кабинет по изучению правил безопасного поведения на улице - интерактивные доски с комплектом видеопрограмм.</w:t>
            </w: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В наличии игры, плакаты, созданы методические разработки в помощь педагогам города; приобретены компьютерные программы, позволяющие имитировать езду на автомобиле в различных погодных условиях, функционируют обучающие тренажеры. Опыт работы кабинетов представлен не только на серии семинаров в городе Кургане, но и для педагогов области при содействии ОГИБДД и Департамента образования и науки Курганской области. В кабинетах работает грамотный высококвалифицированный педагог, который оказывает всестороннюю помощь в проведении городских мероприятий.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         </w:t>
            </w:r>
            <w:r w:rsidRPr="0027360F">
              <w:rPr>
                <w:rFonts w:ascii="PT Astra Serif" w:hAnsi="PT Astra Serif"/>
                <w:sz w:val="24"/>
                <w:szCs w:val="24"/>
              </w:rPr>
              <w:t>На оборудованной автоматизированной площадке на базе МБОУ «Центр образования» проводятся систематические занятия с обучающимися образовательных организаций города. Занятия проводятся по предварительной записи и пользуются большим спросом в образовательной среде города. Дети имеют возможность научиться переходить улицу по регулируемому и нерегулируемому переходам, освоить правила езды на велосипеде по проезжей части. Для эффективной работы с обучающимися приобретены велосипеды, самокаты; закрепляются навыки безопасной езды по перекрестку с использованием светофора и способов регулировки. Работа кабинета востребована. Для проведения игровых обучающих мероприятий приглашаются воспитанники детских садов города.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В мае в МБОУ «СОШ № 39» был организован выезд «Лаборатории безопасности» – мобильного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атвогородка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, действующего на базе Детско-юношеского центра. В летний период проведены выезды в лагеря дневного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пребывания.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12 и 13 сентября в МБДОУ "Детский сад № 47" проведены семинары для ответственных по БДД в детских садах, присутствовало более 60 человек. На мероприятии выступили: инспектор ОГИБДД УМВД России по г.Кургану, специалист управления образования Администрации города Кургана Журавлева И.И., старший воспитатель МБДОУ "Детский сад № 100" Андреева В.А., заместитель заведующего МБДОУ "Детский сад № 47"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Сартудинова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Е.М., педагоги и дети детского сада. Были освещены следующие вопросы: основ безопасности детей - соблюдение правил дорожного движения родителями; профилактика детского дорожно-транспортного травматизма; основные ошибки при подготовке материалов на конкурс "Зеленый огонек", из опыта работы "Обучение дошкольников правилам дорожного движения на занятиях музыкального руководителя", детский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автогородок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31 октября проведен семинар для ответственных по БДД в общеобразовательных организациях. Рассмотрены вопросы безопасной перевозки детей группами, повышение качества работы по предупреждению ДДТТ, алгоритмы проведения олимпиады «Знатоки БДД» и подготовки к конк3рсу «Безопасное колесо». На совещании присутствовали сотрудники ОГИБДД УМВД России по г.Кургану.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360F">
              <w:rPr>
                <w:rFonts w:ascii="PT Astra Serif" w:hAnsi="PT Astra Serif"/>
                <w:sz w:val="20"/>
                <w:szCs w:val="20"/>
              </w:rPr>
              <w:lastRenderedPageBreak/>
              <w:t>ДСП, 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180,68</w:t>
            </w:r>
          </w:p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(82,13%)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2.6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Оснащение образовательных учреждений оборудованием, материалами и учебно-методической литературой по направлению «Безопасность дорожного движения»: </w:t>
            </w:r>
          </w:p>
          <w:p w:rsidR="00C65D90" w:rsidRPr="0027360F" w:rsidRDefault="00C65D90" w:rsidP="007C01FD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  <w:szCs w:val="24"/>
              </w:rPr>
              <w:t>- школы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        На основании постановления Курганской областной Думы от 25.12.2007 года № 2824 «О Законе Курганской области «О внесении изменений и дополнений в Закон Курганской области «О региональном (национально-региональном) компоненте государственных образовательных стандартов общего образования в Курганской области» с 1 сентября 2008 года выделено учебное время на преподавание в курсе ОБЖ обязательных теоретических занятий в 5 – 11 классах по безопасности дорожного движения в количестве 3 часов. Также занятия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проводятся в начальной школе в рамках предмета «Окружающий мир». Для выполнения требований к обучению детей ПДД в образовательные учреждения приобретается учебная литература: пособия, тетради на печатной основе, дидактические игры, плакаты, обучающие компьютерные программы. Для подготовки отрядов ЮИД к соревнованиям учреждения приобретают велосипеды и снаряжение. Заказывают также тематические стенды. Финансовые средства по данному разделу программы распределены приказом Департамента социальной политики от 27.12.2018 г. № 535 «О назначении ответственных исполнителей муниципальной программы «Повышение безопасности дорожного движения в города Кургане» в 2019 году». Исполнение отслеживается ежемесячно.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Для эффективной работы образовательных учреждений по вопросам правильного поведения на дорогах города систематически предоставляются методические, видеоматериалы для проведения тематических мероприятий. Только в течение августа-ноября на электронную почту учреждений были направлены следующие материалы: конкурс «Будь заметен», «Олимпиада БДД», «Месячник безопасности», «Дорога глазами детей» конкурс «Мой безопасный город», «Внимание – дети!», Неделя безопасности дорожного движения, о проведении олимпиады «Знатоки БДД», о семинаре для ответственных, материалы для дошкольных учреждений «Из опыта работы по БДД», конкурс «Засветись».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ДСП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135,958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45,958</w:t>
            </w:r>
          </w:p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(33,8%)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2.7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Проведение профилактических мероприятий в летний период, в том числе в лагерях дневного пребывания при образовательных организациях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</w:rPr>
              <w:t xml:space="preserve">         </w:t>
            </w:r>
            <w:r w:rsidRPr="0027360F">
              <w:rPr>
                <w:rFonts w:ascii="PT Astra Serif" w:hAnsi="PT Astra Serif"/>
                <w:sz w:val="24"/>
                <w:szCs w:val="24"/>
              </w:rPr>
              <w:t xml:space="preserve">На семинарах для начальников лагерей, которые проведены 12 и 18 января 2019 года, особое внимание было уделено вопросу обеспечения безопасности в лагерях в летний период. Профилактическая работа с детьми в лагерях с дневным пребыванием выстроена по 6 основным направлениям: БДД, безопасность на железной дороге, профилактика бытового травматизма, безопасность на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водных объектах, антитеррористическая безопасность, пожарная безопасность. Принято решение семинара - во всех лагерях провести День БДД, данное мероприятие проведено.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         В летний период 2019 года в городе Кургане были открыты  29 лагерей досуга и отдыха с дневным пребыванием детей при образовательных организациях для 2676 детей. В каждом из них проведены профилактические мероприятия по обеспечению безопасности детей на дорогах города: инструктажи по поведению на дорогах и предупреждению ДДТТ, инструктажи по поведению </w:t>
            </w:r>
            <w:proofErr w:type="gramStart"/>
            <w:r w:rsidRPr="0027360F">
              <w:rPr>
                <w:rFonts w:ascii="PT Astra Serif" w:hAnsi="PT Astra Serif"/>
                <w:sz w:val="24"/>
                <w:szCs w:val="24"/>
              </w:rPr>
              <w:t>в  общественном</w:t>
            </w:r>
            <w:proofErr w:type="gram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транспорте; инструктажи по безопасности перед каждым выходом отряда за территорию образовательного учреждения с регистрацией в журнале  инструктажей (на каждый выход за пределы школы издается внутренний приказ по лагерю).           Лагеря досуга и отдыха при образовательных организациях в течение июня будут активно участвовать в региональной профилактической акции «Безопасное лето - детям». Отчеты представлены по всем разделам по окончанию смен начальниками лагерей. За период работы в лагерях проведено более 100 различных профилактических мероприятий по БДД: беседы, экскурсии, инструктажи, конкурсы рисунков и чтецов, конкурсы плакатов, ролевые игры, викторины, конкурсы. Мероприятия, направленные на профилактику детского дорожного травматизма, проведены в рамках акции "Безопасное лето - детям" на площадках по месту жительства, опорных площадках, при работе кружков и секций в течение всего лета. Активное участие приняли детские сады, общий охват - более 20 тыс. несовершеннолетних.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Профилактические мероприятия также проводились в период работы лагерей в весенний и осенний период (охват более 1800 детей): инструктажи, беседы. Деловые игры, конкурсы.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ДСП, 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2.8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пропагандистской акции «День памяти жертв дорожно-транспортных происшествий»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Данная акция была запланирована на ноябрь 2019 года и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приурочена к Международному Дню «Памяти жертв ДТП». Образовательные организации традиционно приняли в ней участие: акции, раздача памяток, выступление агитбригад и отрядов ЮИД, работа с Родительским патрулем, встречи с водителями. В течение недели в школах организовывалась разъяснительная работа по предупреждению ДДТТ, показаны видеоролики с учетом возрастных особенностей категории слушателей.</w:t>
            </w:r>
          </w:p>
          <w:p w:rsidR="00C65D90" w:rsidRPr="0027360F" w:rsidRDefault="00C65D90" w:rsidP="007C01FD">
            <w:pPr>
              <w:shd w:val="clear" w:color="auto" w:fill="FFFFFF"/>
              <w:ind w:firstLine="709"/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15 ноября, накануне «Всемирного дня памяти жертв дорожно-транспортных происшествий», совместно с отрядом ЮИД и обучающимися МБОУ «Гимназия №19», на проспекте имени Маршала Голикова, организована акция «Дороги без ДТП», в ходе которой участники акции обращались к участникам дорожного движения и призывали их не нарушать ПДД, вручая тематические памятки и буклеты.</w:t>
            </w:r>
          </w:p>
          <w:p w:rsidR="00C65D90" w:rsidRPr="0027360F" w:rsidRDefault="00C65D90" w:rsidP="007C01FD">
            <w:pPr>
              <w:ind w:firstLine="709"/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17 ноября проведен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агитпробег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 «Не забывайте нас…», посвященный «Всемирному Дню памяти жертв дорожно-транспортных происшествий». Данная акция проводилась по инициативе отдела ГИБДД УМВД России по г. Кургану, при поддержке представителей Курганского регионального отделения «Всероссийское общество автомобилистов» и «Курганского дома молодежи». Сотрудники полиции вместе с журналистами, представителями общественности проехали по 10-ти местам дорожно-транспортных происшествий, в которых в 2019 году погибли люди. Участники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агитпробега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 вспоминали обстоятельства трагедии, зажигали свечи и возлагали цветы в память об ушедших. </w:t>
            </w:r>
          </w:p>
          <w:p w:rsidR="00C65D90" w:rsidRPr="0027360F" w:rsidRDefault="00C65D90" w:rsidP="007C01FD">
            <w:pPr>
              <w:ind w:firstLine="709"/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Основная часть мероприятия состоялась на Центральной площади имени Ленина. На экране автомобиля «Валдай», предоставленного ГУ МЧС России по Курганской области, транслировались кадры видео с дорожно-транспортных происшествий. Волонтеры «Курганского дома молодежи» держали в руках плакаты с именами ушедших в этом году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курганцев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 по причине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дорожных аварий. Отряд ЮИД МБОУ «Гимназия №19» и МБОУ «СОШ № 29» обращались к водителям и пешеходам с призывом не допускать ошибок на дороге. В завершении мероприятия в небо были запущены шары по количеству погибших в 2019 году.</w:t>
            </w:r>
          </w:p>
          <w:p w:rsidR="00C65D90" w:rsidRPr="0027360F" w:rsidRDefault="00C65D90" w:rsidP="007C01FD">
            <w:pPr>
              <w:ind w:firstLine="709"/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18 ноября в Приходе Великомученика и целителя Пантелеймона состоялось богослужение по погибшим в дорожных авариях. Сотрудники подразделений Госавтоинспекции приняли участие в молебне.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 xml:space="preserve">ДСП, </w:t>
            </w:r>
            <w:r w:rsidRPr="0027360F">
              <w:rPr>
                <w:rFonts w:ascii="PT Astra Serif" w:hAnsi="PT Astra Serif"/>
              </w:rPr>
              <w:lastRenderedPageBreak/>
              <w:t>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Муници</w:t>
            </w:r>
            <w:r w:rsidRPr="0027360F">
              <w:rPr>
                <w:rFonts w:ascii="PT Astra Serif" w:hAnsi="PT Astra Serif"/>
              </w:rPr>
              <w:lastRenderedPageBreak/>
              <w:t>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10,0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(66,67%)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2.9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 xml:space="preserve">Размещение </w:t>
            </w:r>
            <w:proofErr w:type="spellStart"/>
            <w:r w:rsidRPr="0027360F">
              <w:rPr>
                <w:rFonts w:ascii="PT Astra Serif" w:hAnsi="PT Astra Serif"/>
              </w:rPr>
              <w:t>обучающе</w:t>
            </w:r>
            <w:proofErr w:type="spellEnd"/>
            <w:r w:rsidRPr="0027360F">
              <w:rPr>
                <w:rFonts w:ascii="PT Astra Serif" w:hAnsi="PT Astra Serif"/>
              </w:rPr>
              <w:t>-предупредительной информации для населения в СМИ, материалов для обучающихся и их родителей (законных представителей) на сайтах образовательных организаций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Во всех образовательных организациях города (общеобразовательных, дошкольных, учреждениях дополнительного образования) на официальных сайтах есть раздел «Безопасность»/»Дорожная безопасность», где размещены Паспорта дорожной безопасности учреждений, схемы безопасного маршрута, рекомендации, консультации для детей и родителей.</w:t>
            </w:r>
            <w:r w:rsidRPr="0027360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27360F">
              <w:rPr>
                <w:rFonts w:ascii="PT Astra Serif" w:hAnsi="PT Astra Serif"/>
                <w:sz w:val="24"/>
                <w:szCs w:val="24"/>
              </w:rPr>
              <w:t xml:space="preserve">Например, на сайте МБОУ "СОШ № 28" размещены: паспорт дорожной безопасности, маршрут "Дом - школа - дом", методические </w:t>
            </w:r>
            <w:proofErr w:type="gramStart"/>
            <w:r w:rsidRPr="0027360F">
              <w:rPr>
                <w:rFonts w:ascii="PT Astra Serif" w:hAnsi="PT Astra Serif"/>
                <w:sz w:val="24"/>
                <w:szCs w:val="24"/>
              </w:rPr>
              <w:t>рекомендации,,</w:t>
            </w:r>
            <w:proofErr w:type="gram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листовки "В школу - по безопасной дороге", "Будь особенно внимательным, когда обзору мешает препятствие", "Юному пешеходу".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На сайте МБДОУ "Детский сад № 128" размещены следующие материалы: паспорт дорожной безопасности, «Использование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световозвращающих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элементов на одежде детей», «Рекомендации родителем по обучении детей ПДД», «Использование детских удерживающих устройств при перевозке детей до 12-летнего возраста», «Перевозка детей в автомобиле», «Правила перевозки детей в автотранспорте», "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Световозвращающие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элементы как средство профилактики ДДТТ", "Светоотражающие элементы".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На сайте МБОУ «СОШ № 17» размещены следующие материалы: план работы школы по обеспечению безопасности дорожного движения на 2019-2020 уч. год, Правила управления мототранспортом, «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Световозвращающие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брелки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», Безопасный маршрут в </w:t>
            </w:r>
            <w:r w:rsidRPr="0027360F">
              <w:rPr>
                <w:rFonts w:ascii="PT Astra Serif" w:hAnsi="PT Astra Serif"/>
                <w:sz w:val="24"/>
                <w:szCs w:val="24"/>
              </w:rPr>
              <w:lastRenderedPageBreak/>
              <w:t>школу, Информация о следовании по обочине пресечению проезжей части, при пересечении дороги по регулируемому и нерегулируемому пешеходному переходу…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 xml:space="preserve">На сайте МБДОУ «Детский сад № 45» размещены следующие материалы: Паспорт дорожной </w:t>
            </w:r>
            <w:proofErr w:type="gramStart"/>
            <w:r w:rsidRPr="0027360F">
              <w:rPr>
                <w:rFonts w:ascii="PT Astra Serif" w:hAnsi="PT Astra Serif"/>
                <w:sz w:val="24"/>
                <w:szCs w:val="24"/>
              </w:rPr>
              <w:t>безопасности,  «</w:t>
            </w:r>
            <w:proofErr w:type="gram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Использование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световозвращающих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 xml:space="preserve"> элементов на одежде детей», «Рекомендации родителем по обучении детей ПДД», «Использование детских удерживающих устройств при перевозке детей до 12-летнего возраста», «Перевозка детей в автомобиле», «Правила перевозки детей в </w:t>
            </w:r>
            <w:proofErr w:type="spellStart"/>
            <w:r w:rsidRPr="0027360F">
              <w:rPr>
                <w:rFonts w:ascii="PT Astra Serif" w:hAnsi="PT Astra Serif"/>
                <w:sz w:val="24"/>
                <w:szCs w:val="24"/>
              </w:rPr>
              <w:t>атотранспорте</w:t>
            </w:r>
            <w:proofErr w:type="spellEnd"/>
            <w:r w:rsidRPr="0027360F">
              <w:rPr>
                <w:rFonts w:ascii="PT Astra Serif" w:hAnsi="PT Astra Serif"/>
                <w:sz w:val="24"/>
                <w:szCs w:val="24"/>
              </w:rPr>
              <w:t>».</w:t>
            </w:r>
          </w:p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Информация на сайтах регулярно обновляется.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ДСП, 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lastRenderedPageBreak/>
              <w:t>2.10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rPr>
                <w:rFonts w:ascii="PT Astra Serif" w:eastAsia="Calibri" w:hAnsi="PT Astra Serif"/>
                <w:sz w:val="24"/>
                <w:szCs w:val="24"/>
              </w:rPr>
            </w:pPr>
            <w:r w:rsidRPr="0027360F">
              <w:rPr>
                <w:rFonts w:ascii="PT Astra Serif" w:eastAsia="Calibri" w:hAnsi="PT Astra Serif"/>
                <w:sz w:val="24"/>
                <w:szCs w:val="24"/>
              </w:rPr>
              <w:t xml:space="preserve">Организация деятельности по изготовлению и размещению на территории города Кургана, баннеров, пропагандирующих соблюдение ПДД 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Мероприятие исполняет ОГИБДД УМВД России по г.Кургану. Изготовлено 5 тематических баннеров. В настоящее время рассматривается вопрос о месте размещения социальной рекламы.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ДСП</w:t>
            </w:r>
          </w:p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50,0 (33,3%)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2.11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rPr>
                <w:rFonts w:ascii="PT Astra Serif" w:eastAsia="Calibri" w:hAnsi="PT Astra Serif"/>
              </w:rPr>
            </w:pPr>
            <w:r w:rsidRPr="0027360F">
              <w:rPr>
                <w:rFonts w:ascii="PT Astra Serif" w:eastAsia="Calibri" w:hAnsi="PT Astra Serif"/>
              </w:rPr>
              <w:t>Организация и поздравление сотрудниками ГИБДД России по городу Кургану в памятные даты «День инвалида», «День ребенка» и в преддверии новогодних праздников «Полицейский дед Мороз» водителей, детей, пешеходов.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360F">
              <w:rPr>
                <w:rFonts w:ascii="PT Astra Serif" w:hAnsi="PT Astra Serif"/>
                <w:sz w:val="24"/>
                <w:szCs w:val="24"/>
              </w:rPr>
              <w:t>Мероприятия организуются сотрудниками ОГИБДД УМВД России по г. Кургану в соответствии с календарными праздниками.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ДСП</w:t>
            </w:r>
          </w:p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ОГИБДД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Муниципальный бюджет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90" w:rsidRPr="0027360F" w:rsidRDefault="00C65D90" w:rsidP="007C01FD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25,0 (100%)</w:t>
            </w:r>
          </w:p>
        </w:tc>
      </w:tr>
      <w:tr w:rsidR="00C65D90" w:rsidRPr="0027360F" w:rsidTr="00E23880">
        <w:trPr>
          <w:gridAfter w:val="1"/>
          <w:wAfter w:w="10" w:type="dxa"/>
        </w:trPr>
        <w:tc>
          <w:tcPr>
            <w:tcW w:w="1555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4"/>
              </w:rPr>
            </w:pPr>
            <w:r w:rsidRPr="0027360F">
              <w:rPr>
                <w:rFonts w:ascii="PT Astra Serif" w:hAnsi="PT Astra Serif"/>
                <w:b/>
                <w:bCs/>
                <w:szCs w:val="24"/>
              </w:rPr>
              <w:t>3. Повышение уровня безопасности при организации пассажирских перевозок</w:t>
            </w:r>
          </w:p>
        </w:tc>
      </w:tr>
      <w:tr w:rsidR="00C65D90" w:rsidRPr="0027360F" w:rsidTr="00E23880">
        <w:trPr>
          <w:gridAfter w:val="1"/>
          <w:wAfter w:w="10" w:type="dxa"/>
          <w:trHeight w:val="1127"/>
        </w:trPr>
        <w:tc>
          <w:tcPr>
            <w:tcW w:w="434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both"/>
              <w:rPr>
                <w:rFonts w:ascii="PT Astra Serif" w:hAnsi="PT Astra Serif"/>
                <w:b/>
                <w:sz w:val="22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Организация и проведение конкурсов среди организаций, индивидуальных предпринимателей, осуществляющих пассажирские перевозки, на допуск к работе на муниципальной маршрутной сети города Кургана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За 2019 года был проведено 2 конкурса среди организаций, индивидуальных предпринимателей, осуществляющих пассажирские перевозки, на допуск к работе на муниципальной маршрутной сети города Кургана.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МКУ «Транспортное управление»</w:t>
            </w:r>
          </w:p>
        </w:tc>
        <w:tc>
          <w:tcPr>
            <w:tcW w:w="1135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C65D90" w:rsidRPr="0027360F" w:rsidTr="00E23880">
        <w:trPr>
          <w:gridAfter w:val="1"/>
          <w:wAfter w:w="10" w:type="dxa"/>
          <w:trHeight w:val="699"/>
        </w:trPr>
        <w:tc>
          <w:tcPr>
            <w:tcW w:w="434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Проведение комиссионных обследований маршрутов городского пассажирского транспорта общего пользования с последующим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обобщением причин недостатков в содержании дорог (два раза в год)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 xml:space="preserve">Сезонное обследование состояния УДС проводилось 28-29 мая. Заключение комиссии: техническое состояние проезжих частей улиц и дорог города для эксплуатации автобусных маршрутов – удовлетворительное. Ремонту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подлежит 534394,5 м</w:t>
            </w:r>
            <w:r w:rsidRPr="0027360F">
              <w:rPr>
                <w:rFonts w:ascii="PT Astra Serif" w:hAnsi="PT Astra Serif"/>
                <w:szCs w:val="24"/>
                <w:vertAlign w:val="superscript"/>
              </w:rPr>
              <w:t>2</w:t>
            </w:r>
            <w:r w:rsidRPr="0027360F">
              <w:rPr>
                <w:rFonts w:ascii="PT Astra Serif" w:hAnsi="PT Astra Serif"/>
                <w:szCs w:val="24"/>
              </w:rPr>
              <w:t xml:space="preserve"> автомобильных дорог общего пользования местного значения.</w:t>
            </w:r>
          </w:p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Обследование технического состояния мостов и путепроводов города Кургана проводилось 6-10 июня.</w:t>
            </w:r>
            <w:r w:rsidRPr="0027360F">
              <w:t xml:space="preserve"> </w:t>
            </w:r>
            <w:r w:rsidRPr="0027360F">
              <w:rPr>
                <w:rFonts w:ascii="PT Astra Serif" w:hAnsi="PT Astra Serif"/>
                <w:szCs w:val="24"/>
              </w:rPr>
              <w:t>Заключение комиссии: техническое состояние мостов и путепроводов города Кургана для эксплуатации автобусных маршрутов – удовлетворительное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 xml:space="preserve">МКУ «Управление дорожного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 xml:space="preserve">хозяйства и благоустройства города Кургана», </w:t>
            </w:r>
          </w:p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МКУ «Транспортное управление»</w:t>
            </w:r>
          </w:p>
        </w:tc>
        <w:tc>
          <w:tcPr>
            <w:tcW w:w="1135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lastRenderedPageBreak/>
              <w:t>-</w:t>
            </w:r>
          </w:p>
        </w:tc>
        <w:tc>
          <w:tcPr>
            <w:tcW w:w="1219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</w:tr>
      <w:tr w:rsidR="00C65D90" w:rsidRPr="0027360F" w:rsidTr="00E23880">
        <w:trPr>
          <w:gridAfter w:val="1"/>
          <w:wAfter w:w="10" w:type="dxa"/>
          <w:trHeight w:val="1127"/>
        </w:trPr>
        <w:tc>
          <w:tcPr>
            <w:tcW w:w="4345" w:type="dxa"/>
            <w:gridSpan w:val="2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 xml:space="preserve">Проведение оптимизации муниципальной маршрутной сети города Кургана, повышение доли </w:t>
            </w:r>
            <w:proofErr w:type="spellStart"/>
            <w:r w:rsidRPr="0027360F">
              <w:rPr>
                <w:rFonts w:ascii="PT Astra Serif" w:hAnsi="PT Astra Serif"/>
                <w:szCs w:val="24"/>
              </w:rPr>
              <w:t>низкопольных</w:t>
            </w:r>
            <w:proofErr w:type="spellEnd"/>
            <w:r w:rsidRPr="0027360F">
              <w:rPr>
                <w:rFonts w:ascii="PT Astra Serif" w:hAnsi="PT Astra Serif"/>
                <w:szCs w:val="24"/>
              </w:rPr>
              <w:t xml:space="preserve"> автобусов городского типа в общем парке городского пассажирского транспорта общего пользования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Оптимизация муниципальной маршрутной сети города Кургана не проводилась. Введено 4 автобуса с низким расположением пола.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МКУ «Транспортное управление»</w:t>
            </w:r>
          </w:p>
        </w:tc>
        <w:tc>
          <w:tcPr>
            <w:tcW w:w="1135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</w:tr>
      <w:tr w:rsidR="00C65D90" w:rsidRPr="0027360F" w:rsidTr="00E23880">
        <w:trPr>
          <w:gridAfter w:val="1"/>
          <w:wAfter w:w="10" w:type="dxa"/>
          <w:trHeight w:val="1127"/>
        </w:trPr>
        <w:tc>
          <w:tcPr>
            <w:tcW w:w="4345" w:type="dxa"/>
            <w:gridSpan w:val="2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Проведение проверок организации профилактической работы в пассажирских автотранспортных предприятиях города Кургана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В целях устранения недостатков, связанных с несоблюдением  установленных правил БДД, нарушениями правил перевозки пассажиров и культуры обслуживания пассажиров, в адрес перевозчиков МКУ «Транспортное управление» направлено 43</w:t>
            </w:r>
            <w:r w:rsidRPr="0027360F">
              <w:rPr>
                <w:rFonts w:ascii="PT Astra Serif" w:hAnsi="PT Astra Serif"/>
                <w:color w:val="FF0000"/>
                <w:szCs w:val="24"/>
              </w:rPr>
              <w:t xml:space="preserve"> </w:t>
            </w:r>
            <w:r w:rsidRPr="0027360F">
              <w:rPr>
                <w:rFonts w:ascii="PT Astra Serif" w:hAnsi="PT Astra Serif"/>
                <w:szCs w:val="24"/>
              </w:rPr>
              <w:t>уведомления, 524 регистрационные карты, 588 рапортов.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bCs/>
                <w:szCs w:val="24"/>
              </w:rPr>
              <w:t>Департамент развития городского хозяйства</w:t>
            </w:r>
          </w:p>
        </w:tc>
        <w:tc>
          <w:tcPr>
            <w:tcW w:w="1135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27360F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</w:tr>
      <w:tr w:rsidR="00C65D90" w:rsidRPr="0027360F" w:rsidTr="00E23880">
        <w:trPr>
          <w:gridAfter w:val="1"/>
          <w:wAfter w:w="10" w:type="dxa"/>
          <w:trHeight w:val="1127"/>
        </w:trPr>
        <w:tc>
          <w:tcPr>
            <w:tcW w:w="4345" w:type="dxa"/>
            <w:gridSpan w:val="2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Организация и проведение конкурсов среди организаций, индивидуальных предпринимателей, осуществляющих пассажирские перевозки:</w:t>
            </w:r>
          </w:p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 на лучшего перевозчика;</w:t>
            </w:r>
          </w:p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- лучший экипаж городского пассажирского транспорта общего пользования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C65D90" w:rsidRPr="0027360F" w:rsidRDefault="00C65D90" w:rsidP="007C01FD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В октябре 2019 г. подведены итоги конкурсов на лучшего Перевозчика муниципальных маршрутов регулярных перевозок на территории города Кургана и экипажи образцового обслуживания пассажиров. </w:t>
            </w:r>
          </w:p>
          <w:p w:rsidR="00C65D90" w:rsidRPr="0027360F" w:rsidRDefault="00C65D90" w:rsidP="007C01FD">
            <w:pPr>
              <w:ind w:firstLine="708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МКУ «Транспортное управление»</w:t>
            </w:r>
          </w:p>
        </w:tc>
        <w:tc>
          <w:tcPr>
            <w:tcW w:w="1135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Бюджет города Кургана</w:t>
            </w:r>
          </w:p>
        </w:tc>
        <w:tc>
          <w:tcPr>
            <w:tcW w:w="1219" w:type="dxa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60F">
              <w:rPr>
                <w:rFonts w:ascii="PT Astra Serif" w:hAnsi="PT Astra Serif"/>
                <w:sz w:val="22"/>
                <w:szCs w:val="22"/>
              </w:rPr>
              <w:t>200,00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C65D90" w:rsidRPr="0027360F" w:rsidRDefault="00C65D90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60F">
              <w:rPr>
                <w:rFonts w:ascii="PT Astra Serif" w:hAnsi="PT Astra Serif"/>
                <w:sz w:val="22"/>
                <w:szCs w:val="22"/>
              </w:rPr>
              <w:t>200,00</w:t>
            </w:r>
          </w:p>
        </w:tc>
      </w:tr>
      <w:tr w:rsidR="004752AB" w:rsidRPr="0027360F" w:rsidTr="00E23880">
        <w:trPr>
          <w:gridAfter w:val="1"/>
          <w:wAfter w:w="10" w:type="dxa"/>
          <w:trHeight w:val="331"/>
        </w:trPr>
        <w:tc>
          <w:tcPr>
            <w:tcW w:w="13284" w:type="dxa"/>
            <w:gridSpan w:val="9"/>
            <w:shd w:val="clear" w:color="auto" w:fill="auto"/>
          </w:tcPr>
          <w:p w:rsidR="004752AB" w:rsidRPr="0027360F" w:rsidRDefault="004752AB" w:rsidP="004752AB">
            <w:pPr>
              <w:overflowPunct/>
              <w:autoSpaceDE/>
              <w:autoSpaceDN/>
              <w:adjustRightInd/>
              <w:jc w:val="right"/>
              <w:rPr>
                <w:rFonts w:ascii="PT Astra Serif" w:hAnsi="PT Astra Serif"/>
                <w:sz w:val="22"/>
                <w:szCs w:val="24"/>
              </w:rPr>
            </w:pPr>
            <w:r w:rsidRPr="0027360F">
              <w:rPr>
                <w:rFonts w:ascii="PT Astra Serif" w:hAnsi="PT Astra Serif"/>
                <w:sz w:val="22"/>
                <w:szCs w:val="24"/>
              </w:rPr>
              <w:t>ИТОГО:</w:t>
            </w:r>
          </w:p>
        </w:tc>
        <w:tc>
          <w:tcPr>
            <w:tcW w:w="1219" w:type="dxa"/>
            <w:shd w:val="clear" w:color="auto" w:fill="auto"/>
          </w:tcPr>
          <w:p w:rsidR="004752AB" w:rsidRPr="0027360F" w:rsidRDefault="004752AB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60F">
              <w:rPr>
                <w:rFonts w:ascii="PT Astra Serif" w:hAnsi="PT Astra Serif"/>
                <w:sz w:val="22"/>
                <w:szCs w:val="22"/>
              </w:rPr>
              <w:t>4 102,8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4752AB" w:rsidRPr="0027360F" w:rsidRDefault="00C6342C" w:rsidP="007C01FD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7360F">
              <w:rPr>
                <w:rFonts w:ascii="PT Astra Serif" w:hAnsi="PT Astra Serif"/>
                <w:sz w:val="22"/>
                <w:szCs w:val="22"/>
              </w:rPr>
              <w:t>3 590,4</w:t>
            </w:r>
          </w:p>
        </w:tc>
      </w:tr>
    </w:tbl>
    <w:p w:rsidR="00A35E79" w:rsidRPr="0027360F" w:rsidRDefault="00A35E79" w:rsidP="005B1E0C">
      <w:pPr>
        <w:ind w:firstLine="708"/>
        <w:jc w:val="both"/>
        <w:rPr>
          <w:rFonts w:ascii="PT Astra Serif" w:hAnsi="PT Astra Serif"/>
        </w:rPr>
      </w:pPr>
    </w:p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7360F">
        <w:rPr>
          <w:rFonts w:ascii="PT Astra Serif" w:hAnsi="PT Astra Serif" w:cs="Times New Roman"/>
          <w:sz w:val="28"/>
          <w:szCs w:val="28"/>
        </w:rPr>
        <w:t>Оценка целевых индикаторов муниципальной программы</w:t>
      </w:r>
    </w:p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7360F">
        <w:rPr>
          <w:rFonts w:ascii="PT Astra Serif" w:hAnsi="PT Astra Serif" w:cs="Times New Roman"/>
          <w:sz w:val="28"/>
          <w:szCs w:val="28"/>
        </w:rPr>
        <w:t>«</w:t>
      </w:r>
      <w:r w:rsidRPr="0027360F">
        <w:rPr>
          <w:rFonts w:ascii="PT Astra Serif" w:hAnsi="PT Astra Serif" w:cs="Times New Roman"/>
          <w:bCs/>
          <w:color w:val="1C1C1C"/>
          <w:sz w:val="28"/>
          <w:szCs w:val="28"/>
        </w:rPr>
        <w:t>Повышение безопасности дорожного движения в городе Кургане</w:t>
      </w:r>
      <w:r w:rsidRPr="0027360F">
        <w:rPr>
          <w:rFonts w:ascii="PT Astra Serif" w:hAnsi="PT Astra Serif" w:cs="Times New Roman"/>
          <w:sz w:val="28"/>
          <w:szCs w:val="28"/>
        </w:rPr>
        <w:t>» за 2019 год.</w:t>
      </w:r>
    </w:p>
    <w:p w:rsidR="00841973" w:rsidRPr="0027360F" w:rsidRDefault="00841973" w:rsidP="0084197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51"/>
        <w:gridCol w:w="2268"/>
        <w:gridCol w:w="2552"/>
        <w:gridCol w:w="2268"/>
      </w:tblGrid>
      <w:tr w:rsidR="00841973" w:rsidRPr="0027360F" w:rsidTr="00841973">
        <w:tc>
          <w:tcPr>
            <w:tcW w:w="3936" w:type="dxa"/>
            <w:vMerge w:val="restart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>Наименование целевого индикатора</w:t>
            </w:r>
          </w:p>
        </w:tc>
        <w:tc>
          <w:tcPr>
            <w:tcW w:w="992" w:type="dxa"/>
            <w:vMerge w:val="restart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Ед. изм.</w:t>
            </w:r>
          </w:p>
        </w:tc>
        <w:tc>
          <w:tcPr>
            <w:tcW w:w="7371" w:type="dxa"/>
            <w:gridSpan w:val="3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Значение целевого индикатора</w:t>
            </w:r>
          </w:p>
        </w:tc>
        <w:tc>
          <w:tcPr>
            <w:tcW w:w="2268" w:type="dxa"/>
            <w:vMerge w:val="restart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Оценка, баллы</w:t>
            </w:r>
          </w:p>
        </w:tc>
      </w:tr>
      <w:tr w:rsidR="00841973" w:rsidRPr="0027360F" w:rsidTr="00841973">
        <w:tc>
          <w:tcPr>
            <w:tcW w:w="3936" w:type="dxa"/>
            <w:vMerge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  <w:vMerge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551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Утверждено в муниципальной программе</w:t>
            </w:r>
          </w:p>
        </w:tc>
        <w:tc>
          <w:tcPr>
            <w:tcW w:w="2268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Достигнуто</w:t>
            </w:r>
          </w:p>
        </w:tc>
        <w:tc>
          <w:tcPr>
            <w:tcW w:w="2552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Отклонение, %</w:t>
            </w:r>
          </w:p>
        </w:tc>
        <w:tc>
          <w:tcPr>
            <w:tcW w:w="2268" w:type="dxa"/>
            <w:vMerge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841973" w:rsidRPr="0027360F" w:rsidTr="00841973">
        <w:tc>
          <w:tcPr>
            <w:tcW w:w="3936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992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551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2268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2552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2268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6</w:t>
            </w:r>
          </w:p>
        </w:tc>
      </w:tr>
      <w:tr w:rsidR="00841973" w:rsidRPr="0027360F" w:rsidTr="00841973">
        <w:tc>
          <w:tcPr>
            <w:tcW w:w="3936" w:type="dxa"/>
          </w:tcPr>
          <w:p w:rsidR="00841973" w:rsidRPr="0027360F" w:rsidRDefault="00841973" w:rsidP="008132C0">
            <w:pPr>
              <w:tabs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Количество лиц погибших в результате дорожно-транспортных происшествий</w:t>
            </w:r>
          </w:p>
        </w:tc>
        <w:tc>
          <w:tcPr>
            <w:tcW w:w="992" w:type="dxa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38</w:t>
            </w:r>
          </w:p>
          <w:p w:rsidR="000B20E9" w:rsidRPr="0027360F" w:rsidRDefault="000B20E9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50</w:t>
            </w:r>
          </w:p>
          <w:p w:rsidR="000B20E9" w:rsidRPr="0027360F" w:rsidRDefault="000B20E9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</w:t>
            </w:r>
          </w:p>
        </w:tc>
      </w:tr>
      <w:tr w:rsidR="00841973" w:rsidRPr="0027360F" w:rsidTr="00841973">
        <w:tc>
          <w:tcPr>
            <w:tcW w:w="3936" w:type="dxa"/>
          </w:tcPr>
          <w:p w:rsidR="00841973" w:rsidRPr="0027360F" w:rsidRDefault="00841973" w:rsidP="008132C0">
            <w:pPr>
              <w:tabs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Количество детей погибших в результате дорожно-транспортных происшествий</w:t>
            </w:r>
          </w:p>
          <w:p w:rsidR="00841973" w:rsidRPr="0027360F" w:rsidRDefault="00841973" w:rsidP="008132C0">
            <w:pPr>
              <w:tabs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</w:t>
            </w:r>
          </w:p>
        </w:tc>
      </w:tr>
      <w:tr w:rsidR="00841973" w:rsidRPr="0027360F" w:rsidTr="00841973">
        <w:tc>
          <w:tcPr>
            <w:tcW w:w="3936" w:type="dxa"/>
          </w:tcPr>
          <w:p w:rsidR="00841973" w:rsidRPr="0027360F" w:rsidRDefault="00841973" w:rsidP="008132C0">
            <w:pPr>
              <w:tabs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</w:t>
            </w:r>
          </w:p>
        </w:tc>
        <w:tc>
          <w:tcPr>
            <w:tcW w:w="992" w:type="dxa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Чел./10 тыс. ТС</w:t>
            </w:r>
          </w:p>
        </w:tc>
        <w:tc>
          <w:tcPr>
            <w:tcW w:w="2551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3,4</w:t>
            </w:r>
          </w:p>
          <w:p w:rsidR="000B20E9" w:rsidRPr="0027360F" w:rsidRDefault="000B20E9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0,475</w:t>
            </w:r>
          </w:p>
        </w:tc>
        <w:tc>
          <w:tcPr>
            <w:tcW w:w="2552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13,97</w:t>
            </w:r>
          </w:p>
          <w:p w:rsidR="00DB7117" w:rsidRPr="0027360F" w:rsidRDefault="00DB7117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</w:t>
            </w:r>
          </w:p>
          <w:p w:rsidR="00DB7117" w:rsidRPr="0027360F" w:rsidRDefault="00DB7117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</w:t>
            </w:r>
          </w:p>
        </w:tc>
      </w:tr>
      <w:tr w:rsidR="00841973" w:rsidRPr="0027360F" w:rsidTr="00841973">
        <w:tc>
          <w:tcPr>
            <w:tcW w:w="3936" w:type="dxa"/>
          </w:tcPr>
          <w:p w:rsidR="00841973" w:rsidRPr="0027360F" w:rsidRDefault="00841973" w:rsidP="008132C0">
            <w:pPr>
              <w:tabs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Снижение социального риска (количество лиц, погибших в результате дорожно-транспортных происшествий, на 100 тыс. транспортных средств)</w:t>
            </w:r>
          </w:p>
        </w:tc>
        <w:tc>
          <w:tcPr>
            <w:tcW w:w="992" w:type="dxa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Чел./100 тыс. ТС</w:t>
            </w:r>
          </w:p>
        </w:tc>
        <w:tc>
          <w:tcPr>
            <w:tcW w:w="2551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11,9</w:t>
            </w:r>
          </w:p>
          <w:p w:rsidR="000B20E9" w:rsidRPr="0027360F" w:rsidRDefault="000B20E9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6,03</w:t>
            </w:r>
          </w:p>
        </w:tc>
        <w:tc>
          <w:tcPr>
            <w:tcW w:w="2552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50,67</w:t>
            </w:r>
          </w:p>
          <w:p w:rsidR="00A14B63" w:rsidRPr="0027360F" w:rsidRDefault="00A14B6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4</w:t>
            </w:r>
          </w:p>
        </w:tc>
      </w:tr>
      <w:tr w:rsidR="00841973" w:rsidRPr="0027360F" w:rsidTr="00841973">
        <w:tc>
          <w:tcPr>
            <w:tcW w:w="3936" w:type="dxa"/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Итоговая сводная оценка</w:t>
            </w:r>
          </w:p>
        </w:tc>
        <w:tc>
          <w:tcPr>
            <w:tcW w:w="992" w:type="dxa"/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11</w:t>
            </w:r>
          </w:p>
          <w:p w:rsidR="00A14B63" w:rsidRPr="0027360F" w:rsidRDefault="00A14B6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841973" w:rsidRPr="0027360F" w:rsidRDefault="00841973" w:rsidP="00841973">
      <w:pPr>
        <w:ind w:left="1068"/>
        <w:jc w:val="both"/>
        <w:rPr>
          <w:rFonts w:ascii="PT Astra Serif" w:hAnsi="PT Astra Serif"/>
          <w:sz w:val="18"/>
          <w:szCs w:val="18"/>
        </w:rPr>
      </w:pPr>
    </w:p>
    <w:p w:rsidR="00841973" w:rsidRPr="0027360F" w:rsidRDefault="00841973" w:rsidP="0084197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360F">
        <w:rPr>
          <w:rFonts w:ascii="PT Astra Serif" w:hAnsi="PT Astra Serif"/>
          <w:sz w:val="28"/>
          <w:szCs w:val="28"/>
        </w:rPr>
        <w:t>По результатам оценки эффективности реализации муниципальной программы следует вывод:</w:t>
      </w:r>
    </w:p>
    <w:p w:rsidR="00841973" w:rsidRPr="0027360F" w:rsidRDefault="00841973" w:rsidP="0084197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360F">
        <w:rPr>
          <w:rFonts w:ascii="PT Astra Serif" w:hAnsi="PT Astra Serif"/>
          <w:sz w:val="28"/>
          <w:szCs w:val="28"/>
        </w:rPr>
        <w:t>-эффективность повысилась по сравнению с предыдущим годом.</w:t>
      </w:r>
    </w:p>
    <w:p w:rsidR="00841973" w:rsidRPr="0027360F" w:rsidRDefault="00841973" w:rsidP="0084197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7360F">
        <w:rPr>
          <w:rFonts w:ascii="PT Astra Serif" w:hAnsi="PT Astra Serif" w:cs="Times New Roman"/>
          <w:sz w:val="28"/>
          <w:szCs w:val="28"/>
        </w:rPr>
        <w:t>Динамика значений целевых индикаторов муниципальной программы</w:t>
      </w:r>
    </w:p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360F">
        <w:rPr>
          <w:rFonts w:ascii="PT Astra Serif" w:hAnsi="PT Astra Serif" w:cs="Times New Roman"/>
          <w:sz w:val="28"/>
          <w:szCs w:val="28"/>
        </w:rPr>
        <w:t>«</w:t>
      </w:r>
      <w:r w:rsidRPr="0027360F">
        <w:rPr>
          <w:rFonts w:ascii="PT Astra Serif" w:hAnsi="PT Astra Serif" w:cs="Times New Roman"/>
          <w:bCs/>
          <w:color w:val="1C1C1C"/>
          <w:sz w:val="28"/>
          <w:szCs w:val="28"/>
        </w:rPr>
        <w:t>Повышение безопасности дорожного движения в городе Кургане</w:t>
      </w:r>
      <w:r w:rsidRPr="0027360F">
        <w:rPr>
          <w:rFonts w:ascii="PT Astra Serif" w:hAnsi="PT Astra Serif" w:cs="Times New Roman"/>
          <w:sz w:val="28"/>
          <w:szCs w:val="28"/>
        </w:rPr>
        <w:t>»</w:t>
      </w:r>
    </w:p>
    <w:p w:rsidR="00841973" w:rsidRPr="0027360F" w:rsidRDefault="00841973" w:rsidP="0084197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77"/>
        <w:gridCol w:w="1167"/>
        <w:gridCol w:w="534"/>
        <w:gridCol w:w="1276"/>
        <w:gridCol w:w="1559"/>
        <w:gridCol w:w="1559"/>
        <w:gridCol w:w="2268"/>
        <w:gridCol w:w="3686"/>
      </w:tblGrid>
      <w:tr w:rsidR="00841973" w:rsidRPr="0027360F" w:rsidTr="00841973">
        <w:trPr>
          <w:trHeight w:val="450"/>
        </w:trPr>
        <w:tc>
          <w:tcPr>
            <w:tcW w:w="3227" w:type="dxa"/>
            <w:gridSpan w:val="2"/>
            <w:vMerge w:val="restart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Наименование целевого индикатора</w:t>
            </w:r>
          </w:p>
        </w:tc>
        <w:tc>
          <w:tcPr>
            <w:tcW w:w="1701" w:type="dxa"/>
            <w:gridSpan w:val="2"/>
            <w:vMerge w:val="restart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Ед. изм.</w:t>
            </w:r>
          </w:p>
        </w:tc>
        <w:tc>
          <w:tcPr>
            <w:tcW w:w="4394" w:type="dxa"/>
            <w:gridSpan w:val="3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 xml:space="preserve">Фактическое значение индикатора по годам реализации муниципальной программы по итогам реализации муниципальной программы </w:t>
            </w:r>
            <w:r w:rsidRPr="0027360F">
              <w:rPr>
                <w:rFonts w:ascii="PT Astra Serif" w:hAnsi="PT Astra Serif"/>
                <w:szCs w:val="24"/>
              </w:rPr>
              <w:lastRenderedPageBreak/>
              <w:t>«</w:t>
            </w:r>
            <w:r w:rsidRPr="0027360F">
              <w:rPr>
                <w:rFonts w:ascii="PT Astra Serif" w:hAnsi="PT Astra Serif"/>
                <w:bCs/>
                <w:color w:val="1C1C1C"/>
                <w:szCs w:val="24"/>
              </w:rPr>
              <w:t>Повышение безопасности дорожного движения в городе Кургане</w:t>
            </w:r>
            <w:r w:rsidRPr="0027360F">
              <w:rPr>
                <w:rFonts w:ascii="PT Astra Serif" w:hAnsi="PT Astra Serif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Темп роста (снижения) значения индикатора в </w:t>
            </w:r>
            <w:r w:rsidRPr="0027360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отчетном году по сравнению с предыдущим годом, %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lastRenderedPageBreak/>
              <w:t xml:space="preserve">Плановое значение индикатора в последний год реализации </w:t>
            </w:r>
            <w:proofErr w:type="spellStart"/>
            <w:proofErr w:type="gramStart"/>
            <w:r w:rsidRPr="0027360F">
              <w:rPr>
                <w:rFonts w:ascii="PT Astra Serif" w:hAnsi="PT Astra Serif"/>
                <w:szCs w:val="24"/>
              </w:rPr>
              <w:t>муници-пальной</w:t>
            </w:r>
            <w:proofErr w:type="spellEnd"/>
            <w:proofErr w:type="gramEnd"/>
            <w:r w:rsidRPr="0027360F">
              <w:rPr>
                <w:rFonts w:ascii="PT Astra Serif" w:hAnsi="PT Astra Serif"/>
                <w:szCs w:val="24"/>
              </w:rPr>
              <w:t xml:space="preserve"> программы</w:t>
            </w:r>
          </w:p>
        </w:tc>
      </w:tr>
      <w:tr w:rsidR="00841973" w:rsidRPr="0027360F" w:rsidTr="00841973">
        <w:trPr>
          <w:trHeight w:val="240"/>
        </w:trPr>
        <w:tc>
          <w:tcPr>
            <w:tcW w:w="3227" w:type="dxa"/>
            <w:gridSpan w:val="2"/>
            <w:vMerge/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2017 г.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2018 г.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</w:rPr>
            </w:pPr>
            <w:r w:rsidRPr="0027360F">
              <w:rPr>
                <w:rFonts w:ascii="PT Astra Serif" w:hAnsi="PT Astra Serif"/>
              </w:rPr>
              <w:t>2019 г.</w:t>
            </w:r>
          </w:p>
        </w:tc>
        <w:tc>
          <w:tcPr>
            <w:tcW w:w="2268" w:type="dxa"/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841973" w:rsidRPr="0027360F" w:rsidTr="00841973">
        <w:tc>
          <w:tcPr>
            <w:tcW w:w="3227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Количество лиц погибших в результате дорожно-транспортных происшествий</w:t>
            </w:r>
          </w:p>
        </w:tc>
        <w:tc>
          <w:tcPr>
            <w:tcW w:w="1701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Снижение на 52,77</w:t>
            </w:r>
          </w:p>
        </w:tc>
        <w:tc>
          <w:tcPr>
            <w:tcW w:w="3686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36</w:t>
            </w:r>
          </w:p>
        </w:tc>
      </w:tr>
      <w:tr w:rsidR="00841973" w:rsidRPr="0027360F" w:rsidTr="00841973">
        <w:tc>
          <w:tcPr>
            <w:tcW w:w="3227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Количество детей погибших в результате дорожно-транспортных происшествий</w:t>
            </w:r>
          </w:p>
        </w:tc>
        <w:tc>
          <w:tcPr>
            <w:tcW w:w="1701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Снижение на 100</w:t>
            </w:r>
          </w:p>
        </w:tc>
        <w:tc>
          <w:tcPr>
            <w:tcW w:w="3686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</w:t>
            </w:r>
          </w:p>
        </w:tc>
      </w:tr>
      <w:tr w:rsidR="00841973" w:rsidRPr="0027360F" w:rsidTr="00841973">
        <w:tc>
          <w:tcPr>
            <w:tcW w:w="3227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</w:t>
            </w:r>
          </w:p>
        </w:tc>
        <w:tc>
          <w:tcPr>
            <w:tcW w:w="1701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2,4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2,8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0,475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Снижение на 16,96</w:t>
            </w:r>
          </w:p>
        </w:tc>
        <w:tc>
          <w:tcPr>
            <w:tcW w:w="3686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3,2</w:t>
            </w:r>
          </w:p>
        </w:tc>
      </w:tr>
      <w:tr w:rsidR="00841973" w:rsidRPr="0027360F" w:rsidTr="00841973">
        <w:tc>
          <w:tcPr>
            <w:tcW w:w="3227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overflowPunct w:val="0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Снижение социального риска (количество лиц, погибших в результате дорожно-транспортных происшествий, на 100 тыс. транспортных средств).</w:t>
            </w:r>
          </w:p>
        </w:tc>
        <w:tc>
          <w:tcPr>
            <w:tcW w:w="1701" w:type="dxa"/>
            <w:gridSpan w:val="2"/>
            <w:vAlign w:val="center"/>
          </w:tcPr>
          <w:p w:rsidR="00841973" w:rsidRPr="0027360F" w:rsidRDefault="00841973" w:rsidP="008132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841973" w:rsidRPr="0027360F" w:rsidRDefault="00841973" w:rsidP="008132C0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973" w:rsidRPr="0027360F" w:rsidRDefault="00841973" w:rsidP="008132C0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973" w:rsidRPr="0027360F" w:rsidRDefault="00841973" w:rsidP="008132C0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27,7</w:t>
            </w:r>
          </w:p>
        </w:tc>
        <w:tc>
          <w:tcPr>
            <w:tcW w:w="1559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6,03</w:t>
            </w:r>
          </w:p>
        </w:tc>
        <w:tc>
          <w:tcPr>
            <w:tcW w:w="2268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Снижение на 21,77</w:t>
            </w:r>
          </w:p>
        </w:tc>
        <w:tc>
          <w:tcPr>
            <w:tcW w:w="3686" w:type="dxa"/>
            <w:vAlign w:val="center"/>
          </w:tcPr>
          <w:p w:rsidR="00841973" w:rsidRPr="0027360F" w:rsidRDefault="00841973" w:rsidP="008132C0">
            <w:pPr>
              <w:jc w:val="center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11,7</w:t>
            </w:r>
          </w:p>
        </w:tc>
      </w:tr>
      <w:tr w:rsidR="00841973" w:rsidRPr="0027360F" w:rsidTr="00841973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2" w:type="dxa"/>
            <w:gridSpan w:val="6"/>
            <w:tcBorders>
              <w:left w:val="nil"/>
              <w:bottom w:val="nil"/>
              <w:right w:val="nil"/>
            </w:tcBorders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7360F">
        <w:rPr>
          <w:rFonts w:ascii="PT Astra Serif" w:hAnsi="PT Astra Serif" w:cs="Times New Roman"/>
          <w:sz w:val="28"/>
          <w:szCs w:val="28"/>
        </w:rPr>
        <w:t>Оценка эффективности</w:t>
      </w:r>
      <w:r w:rsidRPr="0027360F">
        <w:rPr>
          <w:rFonts w:ascii="PT Astra Serif" w:hAnsi="PT Astra Serif"/>
          <w:sz w:val="28"/>
          <w:szCs w:val="28"/>
        </w:rPr>
        <w:t xml:space="preserve"> </w:t>
      </w:r>
      <w:r w:rsidRPr="0027360F">
        <w:rPr>
          <w:rFonts w:ascii="PT Astra Serif" w:hAnsi="PT Astra Serif" w:cs="Times New Roman"/>
          <w:sz w:val="28"/>
          <w:szCs w:val="28"/>
        </w:rPr>
        <w:t>муниципальной программы</w:t>
      </w:r>
    </w:p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7360F">
        <w:rPr>
          <w:rFonts w:ascii="PT Astra Serif" w:hAnsi="PT Astra Serif" w:cs="Times New Roman"/>
          <w:sz w:val="28"/>
          <w:szCs w:val="28"/>
        </w:rPr>
        <w:t>«</w:t>
      </w:r>
      <w:r w:rsidRPr="0027360F">
        <w:rPr>
          <w:rFonts w:ascii="PT Astra Serif" w:hAnsi="PT Astra Serif" w:cs="Times New Roman"/>
          <w:bCs/>
          <w:color w:val="1C1C1C"/>
          <w:sz w:val="28"/>
          <w:szCs w:val="28"/>
        </w:rPr>
        <w:t>Повышение безопасности дорожного движения в городе Кургане</w:t>
      </w:r>
      <w:r w:rsidRPr="0027360F">
        <w:rPr>
          <w:rFonts w:ascii="PT Astra Serif" w:hAnsi="PT Astra Serif" w:cs="Times New Roman"/>
          <w:sz w:val="28"/>
          <w:szCs w:val="28"/>
        </w:rPr>
        <w:t>» за отчетный 2019 год.</w:t>
      </w:r>
    </w:p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3827"/>
        <w:gridCol w:w="5387"/>
      </w:tblGrid>
      <w:tr w:rsidR="00841973" w:rsidRPr="0027360F" w:rsidTr="00841973">
        <w:tc>
          <w:tcPr>
            <w:tcW w:w="675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552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2835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Итоговая сводная оценка (баллы)</w:t>
            </w:r>
          </w:p>
        </w:tc>
        <w:tc>
          <w:tcPr>
            <w:tcW w:w="3827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Вывод об эффективности муниципальной программы</w:t>
            </w:r>
          </w:p>
        </w:tc>
        <w:tc>
          <w:tcPr>
            <w:tcW w:w="5387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Предложения по дальнейшей реализации муниципальной программы</w:t>
            </w:r>
          </w:p>
        </w:tc>
      </w:tr>
      <w:tr w:rsidR="00841973" w:rsidRPr="0027360F" w:rsidTr="00841973">
        <w:tc>
          <w:tcPr>
            <w:tcW w:w="675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center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в городе Кургане.</w:t>
            </w:r>
          </w:p>
        </w:tc>
        <w:tc>
          <w:tcPr>
            <w:tcW w:w="2835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>Положительное значение (0 и более).</w:t>
            </w:r>
          </w:p>
        </w:tc>
        <w:tc>
          <w:tcPr>
            <w:tcW w:w="3827" w:type="dxa"/>
          </w:tcPr>
          <w:p w:rsidR="00841973" w:rsidRPr="0027360F" w:rsidRDefault="00841973" w:rsidP="008132C0">
            <w:pPr>
              <w:jc w:val="both"/>
              <w:rPr>
                <w:rFonts w:ascii="PT Astra Serif" w:hAnsi="PT Astra Serif"/>
                <w:szCs w:val="24"/>
              </w:rPr>
            </w:pPr>
            <w:r w:rsidRPr="0027360F">
              <w:rPr>
                <w:rFonts w:ascii="PT Astra Serif" w:hAnsi="PT Astra Serif"/>
                <w:szCs w:val="24"/>
              </w:rPr>
              <w:t>Итоговый результат оценки эффективности реализации муниципальной программы составляет 11 баллов: эффективность повысилась по сравнению с предыдущим годом.</w:t>
            </w:r>
          </w:p>
        </w:tc>
        <w:tc>
          <w:tcPr>
            <w:tcW w:w="5387" w:type="dxa"/>
          </w:tcPr>
          <w:p w:rsidR="00841973" w:rsidRPr="0027360F" w:rsidRDefault="00841973" w:rsidP="008132C0">
            <w:pPr>
              <w:pStyle w:val="ConsPlusNonformat"/>
              <w:overflowPunct w:val="0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27360F">
              <w:rPr>
                <w:rFonts w:ascii="PT Astra Serif" w:hAnsi="PT Astra Serif" w:cs="Times New Roman"/>
                <w:sz w:val="24"/>
                <w:szCs w:val="24"/>
              </w:rPr>
              <w:t xml:space="preserve">Необходимо продолжить работу в данном направлении в рамках </w:t>
            </w:r>
            <w:r w:rsidRPr="0027360F">
              <w:rPr>
                <w:rFonts w:ascii="PT Astra Serif" w:hAnsi="PT Astra Serif" w:cs="Times New Roman"/>
                <w:bCs/>
                <w:sz w:val="24"/>
                <w:szCs w:val="24"/>
              </w:rPr>
              <w:t>муниципальной программы «Повышение безопасности дорожного движения в городе Кургане».</w:t>
            </w:r>
          </w:p>
        </w:tc>
      </w:tr>
    </w:tbl>
    <w:p w:rsidR="00841973" w:rsidRPr="0027360F" w:rsidRDefault="00841973" w:rsidP="0084197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841973" w:rsidRPr="00A714E1" w:rsidRDefault="00841973" w:rsidP="00841973">
      <w:pPr>
        <w:pStyle w:val="a7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27360F">
        <w:rPr>
          <w:rFonts w:ascii="PT Astra Serif" w:hAnsi="PT Astra Serif"/>
          <w:sz w:val="28"/>
          <w:szCs w:val="28"/>
        </w:rPr>
        <w:tab/>
        <w:t>Информация о выполнении мероприятий муниципальной программы «Повышение безопасности дорожного движения в городе Кургане» за 2019 год по состоянию на 20.12.2019 г. прилагается.</w:t>
      </w:r>
      <w:bookmarkStart w:id="0" w:name="_GoBack"/>
      <w:bookmarkEnd w:id="0"/>
    </w:p>
    <w:p w:rsidR="00841973" w:rsidRPr="00BE03E5" w:rsidRDefault="00841973" w:rsidP="005B1E0C">
      <w:pPr>
        <w:ind w:firstLine="708"/>
        <w:jc w:val="both"/>
        <w:rPr>
          <w:rFonts w:ascii="PT Astra Serif" w:hAnsi="PT Astra Serif"/>
        </w:rPr>
      </w:pPr>
    </w:p>
    <w:sectPr w:rsidR="00841973" w:rsidRPr="00BE03E5" w:rsidSect="00BE03E5">
      <w:pgSz w:w="16838" w:h="11222" w:orient="landscape"/>
      <w:pgMar w:top="426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2BC1"/>
    <w:multiLevelType w:val="multilevel"/>
    <w:tmpl w:val="64C09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474FC2"/>
    <w:multiLevelType w:val="hybridMultilevel"/>
    <w:tmpl w:val="632E6292"/>
    <w:lvl w:ilvl="0" w:tplc="67C0C7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20E"/>
    <w:rsid w:val="0002042F"/>
    <w:rsid w:val="00022CCC"/>
    <w:rsid w:val="00025C5F"/>
    <w:rsid w:val="00043A8D"/>
    <w:rsid w:val="0008538B"/>
    <w:rsid w:val="000B20E9"/>
    <w:rsid w:val="000F6EBA"/>
    <w:rsid w:val="00116C55"/>
    <w:rsid w:val="0014334E"/>
    <w:rsid w:val="00147C8D"/>
    <w:rsid w:val="0016499B"/>
    <w:rsid w:val="00165200"/>
    <w:rsid w:val="00172589"/>
    <w:rsid w:val="00182B09"/>
    <w:rsid w:val="001E26AF"/>
    <w:rsid w:val="00212B45"/>
    <w:rsid w:val="002134D2"/>
    <w:rsid w:val="00227CA5"/>
    <w:rsid w:val="0027360F"/>
    <w:rsid w:val="00290057"/>
    <w:rsid w:val="00291FDA"/>
    <w:rsid w:val="00292F57"/>
    <w:rsid w:val="002A1B7C"/>
    <w:rsid w:val="002B27F5"/>
    <w:rsid w:val="002C50FE"/>
    <w:rsid w:val="002C6286"/>
    <w:rsid w:val="002D1225"/>
    <w:rsid w:val="00321B91"/>
    <w:rsid w:val="0033596E"/>
    <w:rsid w:val="00351706"/>
    <w:rsid w:val="00372CE9"/>
    <w:rsid w:val="003A11BC"/>
    <w:rsid w:val="003D5D29"/>
    <w:rsid w:val="003D7E79"/>
    <w:rsid w:val="003E65EA"/>
    <w:rsid w:val="003F084E"/>
    <w:rsid w:val="003F3032"/>
    <w:rsid w:val="003F721A"/>
    <w:rsid w:val="003F733B"/>
    <w:rsid w:val="0040430C"/>
    <w:rsid w:val="00412D57"/>
    <w:rsid w:val="0043091B"/>
    <w:rsid w:val="00432475"/>
    <w:rsid w:val="00442614"/>
    <w:rsid w:val="00443C34"/>
    <w:rsid w:val="00443FE1"/>
    <w:rsid w:val="00445AC1"/>
    <w:rsid w:val="00464FBB"/>
    <w:rsid w:val="004745CD"/>
    <w:rsid w:val="004752AB"/>
    <w:rsid w:val="00490810"/>
    <w:rsid w:val="004A51EB"/>
    <w:rsid w:val="004A6FD5"/>
    <w:rsid w:val="004B1AB1"/>
    <w:rsid w:val="005313B0"/>
    <w:rsid w:val="005343D8"/>
    <w:rsid w:val="00593BF9"/>
    <w:rsid w:val="005B1E0C"/>
    <w:rsid w:val="005B1E2B"/>
    <w:rsid w:val="005B1F9E"/>
    <w:rsid w:val="005B75A4"/>
    <w:rsid w:val="005C250B"/>
    <w:rsid w:val="005E49B9"/>
    <w:rsid w:val="005F0971"/>
    <w:rsid w:val="0060421E"/>
    <w:rsid w:val="00610403"/>
    <w:rsid w:val="006160F1"/>
    <w:rsid w:val="0064034F"/>
    <w:rsid w:val="00642AC2"/>
    <w:rsid w:val="00646BFB"/>
    <w:rsid w:val="00673AD8"/>
    <w:rsid w:val="006A07E0"/>
    <w:rsid w:val="006A27A0"/>
    <w:rsid w:val="006A6AEF"/>
    <w:rsid w:val="006A7EEF"/>
    <w:rsid w:val="006D4219"/>
    <w:rsid w:val="006F117D"/>
    <w:rsid w:val="00705327"/>
    <w:rsid w:val="007152F8"/>
    <w:rsid w:val="00723281"/>
    <w:rsid w:val="00731D23"/>
    <w:rsid w:val="00747682"/>
    <w:rsid w:val="00757FB5"/>
    <w:rsid w:val="0076490F"/>
    <w:rsid w:val="007753BA"/>
    <w:rsid w:val="00780F8D"/>
    <w:rsid w:val="00797D03"/>
    <w:rsid w:val="007A76D0"/>
    <w:rsid w:val="007C3253"/>
    <w:rsid w:val="007D2FAA"/>
    <w:rsid w:val="007E6DDB"/>
    <w:rsid w:val="007F46D4"/>
    <w:rsid w:val="0080247D"/>
    <w:rsid w:val="00803671"/>
    <w:rsid w:val="0081440A"/>
    <w:rsid w:val="00822494"/>
    <w:rsid w:val="00841973"/>
    <w:rsid w:val="00875A2E"/>
    <w:rsid w:val="00884084"/>
    <w:rsid w:val="008B0AEE"/>
    <w:rsid w:val="008C5439"/>
    <w:rsid w:val="008E7099"/>
    <w:rsid w:val="009238E6"/>
    <w:rsid w:val="00925A7A"/>
    <w:rsid w:val="00935E83"/>
    <w:rsid w:val="00961AEA"/>
    <w:rsid w:val="00962D12"/>
    <w:rsid w:val="009712DE"/>
    <w:rsid w:val="00984B75"/>
    <w:rsid w:val="009939F9"/>
    <w:rsid w:val="009A1763"/>
    <w:rsid w:val="009B7986"/>
    <w:rsid w:val="009D475D"/>
    <w:rsid w:val="009E5245"/>
    <w:rsid w:val="00A0636A"/>
    <w:rsid w:val="00A1024A"/>
    <w:rsid w:val="00A13BDD"/>
    <w:rsid w:val="00A14B63"/>
    <w:rsid w:val="00A35E79"/>
    <w:rsid w:val="00A36E40"/>
    <w:rsid w:val="00A543CC"/>
    <w:rsid w:val="00A55128"/>
    <w:rsid w:val="00A6029C"/>
    <w:rsid w:val="00A6541F"/>
    <w:rsid w:val="00A723C6"/>
    <w:rsid w:val="00A80C53"/>
    <w:rsid w:val="00AA311F"/>
    <w:rsid w:val="00AC673B"/>
    <w:rsid w:val="00B12DF2"/>
    <w:rsid w:val="00B21596"/>
    <w:rsid w:val="00B2160F"/>
    <w:rsid w:val="00B325C9"/>
    <w:rsid w:val="00B90E5D"/>
    <w:rsid w:val="00BA08F9"/>
    <w:rsid w:val="00BC65BB"/>
    <w:rsid w:val="00BE03E5"/>
    <w:rsid w:val="00BE2D16"/>
    <w:rsid w:val="00BF30D5"/>
    <w:rsid w:val="00C25EAA"/>
    <w:rsid w:val="00C25F1B"/>
    <w:rsid w:val="00C57081"/>
    <w:rsid w:val="00C6342C"/>
    <w:rsid w:val="00C65D90"/>
    <w:rsid w:val="00C6717D"/>
    <w:rsid w:val="00C82233"/>
    <w:rsid w:val="00CA0C6A"/>
    <w:rsid w:val="00CA1AF6"/>
    <w:rsid w:val="00CA4BC8"/>
    <w:rsid w:val="00CD0E44"/>
    <w:rsid w:val="00CD685F"/>
    <w:rsid w:val="00CF46B7"/>
    <w:rsid w:val="00D0575F"/>
    <w:rsid w:val="00D37BBA"/>
    <w:rsid w:val="00D45B5D"/>
    <w:rsid w:val="00D52976"/>
    <w:rsid w:val="00D63001"/>
    <w:rsid w:val="00D64286"/>
    <w:rsid w:val="00D65C5A"/>
    <w:rsid w:val="00D75674"/>
    <w:rsid w:val="00D7579F"/>
    <w:rsid w:val="00D77901"/>
    <w:rsid w:val="00D81FDA"/>
    <w:rsid w:val="00D97001"/>
    <w:rsid w:val="00DB2047"/>
    <w:rsid w:val="00DB258D"/>
    <w:rsid w:val="00DB7117"/>
    <w:rsid w:val="00DD7CD6"/>
    <w:rsid w:val="00DE7D14"/>
    <w:rsid w:val="00E074D2"/>
    <w:rsid w:val="00E076F6"/>
    <w:rsid w:val="00E23880"/>
    <w:rsid w:val="00E276AA"/>
    <w:rsid w:val="00E27CC8"/>
    <w:rsid w:val="00E72560"/>
    <w:rsid w:val="00E828B6"/>
    <w:rsid w:val="00E842AA"/>
    <w:rsid w:val="00EA5613"/>
    <w:rsid w:val="00EB6186"/>
    <w:rsid w:val="00EC25DA"/>
    <w:rsid w:val="00EC5639"/>
    <w:rsid w:val="00EE1AEE"/>
    <w:rsid w:val="00EF0774"/>
    <w:rsid w:val="00EF2A8E"/>
    <w:rsid w:val="00F31282"/>
    <w:rsid w:val="00F32BF6"/>
    <w:rsid w:val="00F4555A"/>
    <w:rsid w:val="00F6777F"/>
    <w:rsid w:val="00F73D5A"/>
    <w:rsid w:val="00F84C2D"/>
    <w:rsid w:val="00F8720E"/>
    <w:rsid w:val="00FC48F7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616DC8-B6E5-4DB5-9757-75568BE8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16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160F"/>
    <w:pPr>
      <w:framePr w:w="4031" w:hSpace="141" w:wrap="auto" w:vAnchor="text" w:hAnchor="page" w:x="1291" w:y="5"/>
    </w:pPr>
    <w:rPr>
      <w:b/>
      <w:spacing w:val="16"/>
      <w:sz w:val="28"/>
    </w:rPr>
  </w:style>
  <w:style w:type="paragraph" w:styleId="a4">
    <w:name w:val="Balloon Text"/>
    <w:basedOn w:val="a"/>
    <w:semiHidden/>
    <w:rsid w:val="007E6D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32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F721A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5B1E0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B1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8">
    <w:name w:val="No Spacing"/>
    <w:link w:val="a9"/>
    <w:uiPriority w:val="1"/>
    <w:qFormat/>
    <w:rsid w:val="00BE03E5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BE03E5"/>
    <w:rPr>
      <w:rFonts w:ascii="Calibri" w:hAnsi="Calibri"/>
      <w:sz w:val="22"/>
      <w:szCs w:val="22"/>
      <w:lang w:bidi="ar-SA"/>
    </w:rPr>
  </w:style>
  <w:style w:type="paragraph" w:customStyle="1" w:styleId="ConsPlusCell">
    <w:name w:val="ConsPlusCell"/>
    <w:rsid w:val="00841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41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UGL_DRGH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UGL_DRGH</Template>
  <TotalTime>1190</TotalTime>
  <Pages>27</Pages>
  <Words>6174</Words>
  <Characters>35197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CROC</Company>
  <LinksUpToDate>false</LinksUpToDate>
  <CharactersWithSpaces>41289</CharactersWithSpaces>
  <SharedDoc>false</SharedDoc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mailto:menshikov-ae@kurgan-city.ru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Мария Евгеньевна Охохонина</cp:lastModifiedBy>
  <cp:revision>35</cp:revision>
  <cp:lastPrinted>2019-09-25T10:11:00Z</cp:lastPrinted>
  <dcterms:created xsi:type="dcterms:W3CDTF">2018-07-13T04:51:00Z</dcterms:created>
  <dcterms:modified xsi:type="dcterms:W3CDTF">2020-06-16T08:26:00Z</dcterms:modified>
</cp:coreProperties>
</file>